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76C32EC0" w:rsidR="00E90E49" w:rsidRPr="009F5A11" w:rsidRDefault="00E90E49" w:rsidP="00E35559">
      <w:pPr>
        <w:pStyle w:val="3GPPHeader"/>
        <w:spacing w:after="60"/>
        <w:rPr>
          <w:sz w:val="32"/>
          <w:szCs w:val="32"/>
        </w:rPr>
      </w:pPr>
      <w:r w:rsidRPr="009F5A11">
        <w:t>3GPP TSG-RAN WG</w:t>
      </w:r>
      <w:r w:rsidR="008F1C4E" w:rsidRPr="009F5A11">
        <w:t>1</w:t>
      </w:r>
      <w:r w:rsidRPr="009F5A11">
        <w:t xml:space="preserve"> #</w:t>
      </w:r>
      <w:r w:rsidR="00D242A6" w:rsidRPr="009F5A11">
        <w:t>1</w:t>
      </w:r>
      <w:r w:rsidR="00494B14" w:rsidRPr="009F5A11">
        <w:t>1</w:t>
      </w:r>
      <w:r w:rsidR="00531A58" w:rsidRPr="009F5A11">
        <w:t>4</w:t>
      </w:r>
      <w:r w:rsidRPr="009F5A11">
        <w:tab/>
      </w:r>
      <w:r w:rsidR="005562E1" w:rsidRPr="005562E1">
        <w:rPr>
          <w:sz w:val="32"/>
          <w:szCs w:val="32"/>
        </w:rPr>
        <w:t>R1-2307802</w:t>
      </w:r>
    </w:p>
    <w:p w14:paraId="62CC9869" w14:textId="70F74173" w:rsidR="00E90E49" w:rsidRPr="009F5A11" w:rsidRDefault="00531A58" w:rsidP="00311702">
      <w:pPr>
        <w:pStyle w:val="3GPPHeader"/>
      </w:pPr>
      <w:r w:rsidRPr="009F5A11">
        <w:t>Toulouse, France, August 21</w:t>
      </w:r>
      <w:r w:rsidRPr="009F5A11">
        <w:rPr>
          <w:vertAlign w:val="superscript"/>
        </w:rPr>
        <w:t>st</w:t>
      </w:r>
      <w:r w:rsidRPr="009F5A11">
        <w:t xml:space="preserve"> – 25</w:t>
      </w:r>
      <w:r w:rsidRPr="009F5A11">
        <w:rPr>
          <w:vertAlign w:val="superscript"/>
        </w:rPr>
        <w:t>th</w:t>
      </w:r>
      <w:r w:rsidRPr="009F5A11">
        <w:t>, 2023</w:t>
      </w:r>
      <w:r w:rsidR="00A30565" w:rsidRPr="009F5A11">
        <w:t xml:space="preserve"> </w:t>
      </w:r>
    </w:p>
    <w:p w14:paraId="5DFFF159" w14:textId="77777777" w:rsidR="00E90E49" w:rsidRPr="009F5A11" w:rsidRDefault="00E90E49" w:rsidP="00357380">
      <w:pPr>
        <w:pStyle w:val="3GPPHeader"/>
      </w:pPr>
    </w:p>
    <w:p w14:paraId="7A0A51EB" w14:textId="263DD5D9" w:rsidR="00D242A6" w:rsidRPr="009F5A11" w:rsidRDefault="00E90E49" w:rsidP="00311702">
      <w:pPr>
        <w:pStyle w:val="3GPPHeader"/>
        <w:rPr>
          <w:sz w:val="22"/>
          <w:szCs w:val="22"/>
          <w:lang w:val="en-US"/>
        </w:rPr>
      </w:pPr>
      <w:r w:rsidRPr="009F5A11">
        <w:rPr>
          <w:sz w:val="22"/>
          <w:szCs w:val="22"/>
          <w:lang w:val="en-US"/>
        </w:rPr>
        <w:t>Agenda Item:</w:t>
      </w:r>
      <w:r w:rsidRPr="009F5A11">
        <w:rPr>
          <w:sz w:val="22"/>
          <w:szCs w:val="22"/>
          <w:lang w:val="en-US"/>
        </w:rPr>
        <w:tab/>
      </w:r>
      <w:r w:rsidR="00494B14" w:rsidRPr="009F5A11">
        <w:rPr>
          <w:sz w:val="22"/>
          <w:szCs w:val="22"/>
          <w:lang w:val="en-US"/>
        </w:rPr>
        <w:t>9.</w:t>
      </w:r>
      <w:r w:rsidR="00475001">
        <w:rPr>
          <w:sz w:val="22"/>
          <w:szCs w:val="22"/>
          <w:lang w:val="en-US"/>
        </w:rPr>
        <w:t>16</w:t>
      </w:r>
      <w:r w:rsidR="00494B14" w:rsidRPr="009F5A11">
        <w:rPr>
          <w:sz w:val="22"/>
          <w:szCs w:val="22"/>
          <w:lang w:val="en-US"/>
        </w:rPr>
        <w:t>.</w:t>
      </w:r>
      <w:r w:rsidR="00475001">
        <w:rPr>
          <w:sz w:val="22"/>
          <w:szCs w:val="22"/>
          <w:lang w:val="en-US"/>
        </w:rPr>
        <w:t>11</w:t>
      </w:r>
    </w:p>
    <w:p w14:paraId="6B979020" w14:textId="77777777" w:rsidR="00E90E49" w:rsidRPr="009F5A11" w:rsidRDefault="003D3C45" w:rsidP="00F64C2B">
      <w:pPr>
        <w:pStyle w:val="3GPPHeader"/>
        <w:rPr>
          <w:sz w:val="22"/>
          <w:szCs w:val="22"/>
        </w:rPr>
      </w:pPr>
      <w:r w:rsidRPr="009F5A11">
        <w:rPr>
          <w:sz w:val="22"/>
          <w:szCs w:val="22"/>
        </w:rPr>
        <w:t>Source:</w:t>
      </w:r>
      <w:r w:rsidR="00E90E49" w:rsidRPr="009F5A11">
        <w:rPr>
          <w:sz w:val="22"/>
          <w:szCs w:val="22"/>
        </w:rPr>
        <w:tab/>
      </w:r>
      <w:r w:rsidR="00F64C2B" w:rsidRPr="009F5A11">
        <w:rPr>
          <w:sz w:val="22"/>
          <w:szCs w:val="22"/>
        </w:rPr>
        <w:t>Ericsson</w:t>
      </w:r>
    </w:p>
    <w:p w14:paraId="3081013B" w14:textId="31C1B6E6" w:rsidR="00E90E49" w:rsidRPr="009F5A11" w:rsidRDefault="003D3C45" w:rsidP="00311702">
      <w:pPr>
        <w:pStyle w:val="3GPPHeader"/>
        <w:rPr>
          <w:sz w:val="22"/>
          <w:szCs w:val="22"/>
        </w:rPr>
      </w:pPr>
      <w:r w:rsidRPr="009F5A11">
        <w:rPr>
          <w:sz w:val="22"/>
          <w:szCs w:val="22"/>
        </w:rPr>
        <w:t>Title:</w:t>
      </w:r>
      <w:r w:rsidRPr="009F5A11">
        <w:tab/>
      </w:r>
      <w:r w:rsidR="39B8CE01" w:rsidRPr="009F5A11">
        <w:rPr>
          <w:sz w:val="22"/>
          <w:szCs w:val="22"/>
        </w:rPr>
        <w:t xml:space="preserve">On </w:t>
      </w:r>
      <w:r w:rsidR="00D242A6" w:rsidRPr="009F5A11">
        <w:rPr>
          <w:sz w:val="22"/>
          <w:szCs w:val="22"/>
        </w:rPr>
        <w:t xml:space="preserve">UE features for </w:t>
      </w:r>
      <w:r w:rsidR="00420DB2" w:rsidRPr="009F5A11">
        <w:rPr>
          <w:sz w:val="22"/>
          <w:szCs w:val="22"/>
        </w:rPr>
        <w:t>IoT</w:t>
      </w:r>
      <w:r w:rsidR="00CF523E" w:rsidRPr="009F5A11">
        <w:rPr>
          <w:sz w:val="22"/>
          <w:szCs w:val="22"/>
        </w:rPr>
        <w:t xml:space="preserve"> NTN enhancements</w:t>
      </w:r>
    </w:p>
    <w:p w14:paraId="6018F399" w14:textId="77777777" w:rsidR="00E90E49" w:rsidRPr="009F5A11" w:rsidRDefault="00E90E49" w:rsidP="00D546FF">
      <w:pPr>
        <w:pStyle w:val="3GPPHeader"/>
        <w:rPr>
          <w:sz w:val="22"/>
          <w:szCs w:val="22"/>
        </w:rPr>
      </w:pPr>
      <w:r w:rsidRPr="009F5A11">
        <w:rPr>
          <w:sz w:val="22"/>
          <w:szCs w:val="22"/>
        </w:rPr>
        <w:t>Document for:</w:t>
      </w:r>
      <w:r w:rsidRPr="009F5A11">
        <w:rPr>
          <w:sz w:val="22"/>
          <w:szCs w:val="22"/>
        </w:rPr>
        <w:tab/>
        <w:t>Discussion, Decision</w:t>
      </w:r>
    </w:p>
    <w:p w14:paraId="38461324" w14:textId="77777777" w:rsidR="00E90E49" w:rsidRPr="009F5A11" w:rsidRDefault="00E90E49" w:rsidP="00E90E49"/>
    <w:p w14:paraId="73592EC2" w14:textId="77777777" w:rsidR="00E90E49" w:rsidRPr="009F5A11" w:rsidRDefault="00230D18" w:rsidP="00CE0424">
      <w:pPr>
        <w:pStyle w:val="Heading1"/>
      </w:pPr>
      <w:r w:rsidRPr="009F5A11">
        <w:t>1</w:t>
      </w:r>
      <w:r w:rsidRPr="009F5A11">
        <w:tab/>
      </w:r>
      <w:r w:rsidR="00E90E49" w:rsidRPr="009F5A11">
        <w:t>Introduction</w:t>
      </w:r>
    </w:p>
    <w:p w14:paraId="35DAE8A8" w14:textId="2ED9720B" w:rsidR="000D63C2" w:rsidRPr="009F5A11" w:rsidRDefault="0067218E" w:rsidP="0067218E">
      <w:pPr>
        <w:pStyle w:val="BodyText"/>
        <w:rPr>
          <w:rFonts w:ascii="Times New Roman" w:hAnsi="Times New Roman"/>
        </w:rPr>
      </w:pPr>
      <w:r w:rsidRPr="009F5A11">
        <w:rPr>
          <w:rFonts w:ascii="Times New Roman" w:hAnsi="Times New Roman"/>
        </w:rPr>
        <w:t xml:space="preserve">The Rel-18 </w:t>
      </w:r>
      <w:r w:rsidR="002C4217" w:rsidRPr="009F5A11">
        <w:rPr>
          <w:rFonts w:ascii="Times New Roman" w:hAnsi="Times New Roman"/>
        </w:rPr>
        <w:t xml:space="preserve">“WID on IoT NTN enhancements” </w:t>
      </w:r>
      <w:r w:rsidRPr="009F5A11">
        <w:rPr>
          <w:rFonts w:ascii="Times New Roman" w:hAnsi="Times New Roman"/>
        </w:rPr>
        <w:t xml:space="preserve">[1] is </w:t>
      </w:r>
      <w:r w:rsidR="002C4217" w:rsidRPr="009F5A11">
        <w:rPr>
          <w:rFonts w:ascii="Times New Roman" w:hAnsi="Times New Roman"/>
        </w:rPr>
        <w:t xml:space="preserve">coming to its end, </w:t>
      </w:r>
      <w:r w:rsidRPr="009F5A11">
        <w:rPr>
          <w:rFonts w:ascii="Times New Roman" w:hAnsi="Times New Roman"/>
        </w:rPr>
        <w:t>.</w:t>
      </w:r>
      <w:r w:rsidR="002C4217" w:rsidRPr="009F5A11">
        <w:rPr>
          <w:rFonts w:ascii="Times New Roman" w:hAnsi="Times New Roman"/>
        </w:rPr>
        <w:t xml:space="preserve">and the UE feature list is under discussion. </w:t>
      </w:r>
      <w:r w:rsidRPr="009F5A11">
        <w:rPr>
          <w:rFonts w:ascii="Times New Roman" w:hAnsi="Times New Roman"/>
        </w:rPr>
        <w:t xml:space="preserve">In this contribution we provide our views on the RAN1 UE features list for </w:t>
      </w:r>
      <w:r w:rsidR="002C4217" w:rsidRPr="009F5A11">
        <w:rPr>
          <w:rFonts w:ascii="Times New Roman" w:hAnsi="Times New Roman"/>
        </w:rPr>
        <w:t xml:space="preserve">both </w:t>
      </w:r>
      <w:r w:rsidRPr="009F5A11">
        <w:rPr>
          <w:rFonts w:ascii="Times New Roman" w:hAnsi="Times New Roman"/>
        </w:rPr>
        <w:t>NB-IoT and LTE-MTC using as reference the latest version of UE feature list in</w:t>
      </w:r>
      <w:r w:rsidR="002C4217" w:rsidRPr="009F5A11">
        <w:rPr>
          <w:rFonts w:ascii="Times New Roman" w:hAnsi="Times New Roman"/>
        </w:rPr>
        <w:t xml:space="preserve"> </w:t>
      </w:r>
      <w:r w:rsidR="005248B9" w:rsidRPr="005248B9">
        <w:rPr>
          <w:rFonts w:ascii="Times New Roman" w:hAnsi="Times New Roman"/>
        </w:rPr>
        <w:t>R1-2306220</w:t>
      </w:r>
      <w:r w:rsidRPr="009F5A11">
        <w:rPr>
          <w:rFonts w:ascii="Times New Roman" w:hAnsi="Times New Roman"/>
        </w:rPr>
        <w:t xml:space="preserve"> [</w:t>
      </w:r>
      <w:r w:rsidR="002C4217" w:rsidRPr="009F5A11">
        <w:rPr>
          <w:rFonts w:ascii="Times New Roman" w:hAnsi="Times New Roman"/>
        </w:rPr>
        <w:t>2</w:t>
      </w:r>
      <w:r w:rsidRPr="009F5A11">
        <w:rPr>
          <w:rFonts w:ascii="Times New Roman" w:hAnsi="Times New Roman"/>
        </w:rPr>
        <w:t>]</w:t>
      </w:r>
      <w:r w:rsidR="00D83542" w:rsidRPr="009F5A11">
        <w:rPr>
          <w:rFonts w:ascii="Times New Roman" w:hAnsi="Times New Roman"/>
        </w:rPr>
        <w:t>.</w:t>
      </w:r>
      <w:r w:rsidR="00523CBA" w:rsidRPr="009F5A11">
        <w:t xml:space="preserve"> </w:t>
      </w:r>
    </w:p>
    <w:p w14:paraId="6D9BA07B" w14:textId="5D9A0DF0" w:rsidR="004000E8" w:rsidRPr="009F5A11" w:rsidRDefault="00230D18" w:rsidP="00CE0424">
      <w:pPr>
        <w:pStyle w:val="Heading1"/>
      </w:pPr>
      <w:bookmarkStart w:id="0" w:name="_Ref178064866"/>
      <w:r w:rsidRPr="009F5A11">
        <w:t>2</w:t>
      </w:r>
      <w:r w:rsidRPr="009F5A11">
        <w:tab/>
      </w:r>
      <w:r w:rsidR="004000E8" w:rsidRPr="009F5A11">
        <w:t>Discussion</w:t>
      </w:r>
      <w:bookmarkEnd w:id="0"/>
    </w:p>
    <w:p w14:paraId="0A62176E" w14:textId="218703D1" w:rsidR="008636D4" w:rsidRPr="009F5A11" w:rsidRDefault="008636D4" w:rsidP="008636D4">
      <w:pPr>
        <w:pStyle w:val="Heading2"/>
      </w:pPr>
      <w:r w:rsidRPr="009F5A11">
        <w:t>2.1</w:t>
      </w:r>
      <w:r w:rsidRPr="009F5A11">
        <w:tab/>
        <w:t xml:space="preserve">Disabling of HARQ feedback for </w:t>
      </w:r>
      <w:r w:rsidR="0067218E" w:rsidRPr="009F5A11">
        <w:t>LTE-MTC</w:t>
      </w:r>
    </w:p>
    <w:p w14:paraId="493405A1" w14:textId="2C2E2281" w:rsidR="00EC57BB" w:rsidRDefault="0067218E" w:rsidP="0067218E">
      <w:pPr>
        <w:jc w:val="both"/>
      </w:pPr>
      <w:r w:rsidRPr="009F5A11">
        <w:t>Below we discuss the RAN1 UE feature list on “Disabling HARQ feedback for LTE-MTC” as endorsed in [</w:t>
      </w:r>
      <w:r w:rsidR="000B60E1">
        <w:t>2</w:t>
      </w:r>
      <w:r w:rsidRPr="009F5A11">
        <w:t>]</w:t>
      </w:r>
      <w:r w:rsidR="00477D15" w:rsidRPr="009F5A11">
        <w:t>.</w:t>
      </w:r>
    </w:p>
    <w:p w14:paraId="00EE6B69" w14:textId="364AC8CE" w:rsidR="00DB5FCB" w:rsidRPr="009F5A11" w:rsidRDefault="00DB5FCB" w:rsidP="00DB5FCB">
      <w:pPr>
        <w:pStyle w:val="Heading3"/>
      </w:pPr>
      <w:r>
        <w:t>2.1.1</w:t>
      </w:r>
      <w:r>
        <w:tab/>
        <w:t>FGs associated to CE Mode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34"/>
        <w:gridCol w:w="1684"/>
        <w:gridCol w:w="2799"/>
        <w:gridCol w:w="1472"/>
        <w:gridCol w:w="1900"/>
      </w:tblGrid>
      <w:tr w:rsidR="0067218E" w:rsidRPr="009F5A11" w14:paraId="2FA6E644"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1AB6D1AC"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2966443"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E9141B3"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921E1B"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199E6DA"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39E22F"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Need for the eNB to know if the feature is supported</w:t>
            </w:r>
          </w:p>
        </w:tc>
      </w:tr>
      <w:tr w:rsidR="0067218E" w:rsidRPr="009F5A11" w14:paraId="10194893"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7EB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eastAsia="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9AB9" w14:textId="77777777" w:rsidR="0067218E" w:rsidRPr="009F5A11" w:rsidRDefault="0067218E" w:rsidP="0067218E">
            <w:pPr>
              <w:keepNext/>
              <w:keepLines/>
              <w:overflowPunct/>
              <w:autoSpaceDE/>
              <w:autoSpaceDN/>
              <w:adjustRightInd/>
              <w:spacing w:after="0"/>
              <w:textAlignment w:val="auto"/>
              <w:rPr>
                <w:rFonts w:ascii="Arial" w:eastAsia="MS Mincho" w:hAnsi="Arial" w:cs="Arial"/>
                <w:color w:val="000000"/>
                <w:sz w:val="14"/>
                <w:szCs w:val="16"/>
              </w:rPr>
            </w:pPr>
            <w:r w:rsidRPr="009F5A11">
              <w:rPr>
                <w:rFonts w:ascii="Arial" w:hAnsi="Arial" w:cs="Arial"/>
                <w:color w:val="000000"/>
                <w:sz w:val="14"/>
                <w:szCs w:val="16"/>
                <w:lang w:eastAsia="en-US"/>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A71AE"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zh-CN"/>
              </w:rPr>
              <w:t>Semi-static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077" w14:textId="77777777" w:rsidR="0067218E" w:rsidRPr="009F5A11" w:rsidRDefault="0067218E" w:rsidP="0067218E">
            <w:pPr>
              <w:overflowPunct/>
              <w:autoSpaceDE/>
              <w:autoSpaceDN/>
              <w:adjustRightInd/>
              <w:spacing w:after="0"/>
              <w:textAlignment w:val="auto"/>
              <w:rPr>
                <w:rFonts w:ascii="Arial" w:eastAsia="MS Gothic" w:hAnsi="Arial" w:cs="Arial"/>
                <w:color w:val="000000"/>
                <w:sz w:val="14"/>
                <w:szCs w:val="16"/>
              </w:rPr>
            </w:pPr>
            <w:r w:rsidRPr="009F5A11">
              <w:rPr>
                <w:rFonts w:ascii="Arial" w:eastAsia="MS Gothic" w:hAnsi="Arial" w:cs="Arial"/>
                <w:color w:val="000000"/>
                <w:sz w:val="14"/>
                <w:szCs w:val="16"/>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F28F" w14:textId="77777777" w:rsidR="0067218E" w:rsidRPr="009F5A11" w:rsidRDefault="0067218E" w:rsidP="0067218E">
            <w:pPr>
              <w:keepNext/>
              <w:keepLines/>
              <w:overflowPunct/>
              <w:autoSpaceDE/>
              <w:autoSpaceDN/>
              <w:adjustRightInd/>
              <w:spacing w:after="0"/>
              <w:textAlignment w:val="auto"/>
              <w:rPr>
                <w:rFonts w:ascii="Arial" w:eastAsia="MS Mincho" w:hAnsi="Arial" w:cs="Arial"/>
                <w:color w:val="000000"/>
                <w:sz w:val="14"/>
                <w:szCs w:val="16"/>
              </w:rPr>
            </w:pPr>
            <w:r w:rsidRPr="009F5A11">
              <w:rPr>
                <w:rFonts w:ascii="Arial" w:hAnsi="Arial" w:cs="Arial"/>
                <w:color w:val="000000"/>
                <w:sz w:val="14"/>
                <w:szCs w:val="16"/>
                <w:lang w:eastAsia="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386C"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en-US"/>
              </w:rPr>
              <w:t>Yes</w:t>
            </w:r>
          </w:p>
        </w:tc>
      </w:tr>
      <w:tr w:rsidR="0067218E" w:rsidRPr="009F5A11" w14:paraId="3476FEF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1F1DD"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eastAsia="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898C"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eastAsia="en-US"/>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86A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1A8B" w14:textId="77777777" w:rsidR="0067218E" w:rsidRPr="009F5A11" w:rsidRDefault="0067218E" w:rsidP="0067218E">
            <w:pPr>
              <w:overflowPunct/>
              <w:autoSpaceDE/>
              <w:autoSpaceDN/>
              <w:adjustRightInd/>
              <w:spacing w:after="0"/>
              <w:textAlignment w:val="auto"/>
              <w:rPr>
                <w:rFonts w:ascii="Arial" w:eastAsia="MS Gothic" w:hAnsi="Arial" w:cs="Arial"/>
                <w:color w:val="000000"/>
                <w:sz w:val="14"/>
                <w:szCs w:val="16"/>
              </w:rPr>
            </w:pPr>
            <w:r w:rsidRPr="009F5A11">
              <w:rPr>
                <w:rFonts w:ascii="Arial" w:eastAsia="MS Gothic" w:hAnsi="Arial" w:cs="Arial"/>
                <w:color w:val="000000"/>
                <w:sz w:val="14"/>
                <w:szCs w:val="16"/>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5130" w14:textId="77777777" w:rsidR="0067218E" w:rsidRPr="009F5A11" w:rsidRDefault="0067218E" w:rsidP="0067218E">
            <w:pPr>
              <w:keepNext/>
              <w:keepLines/>
              <w:overflowPunct/>
              <w:autoSpaceDE/>
              <w:autoSpaceDN/>
              <w:adjustRightInd/>
              <w:spacing w:after="0"/>
              <w:textAlignment w:val="auto"/>
              <w:rPr>
                <w:rFonts w:ascii="Arial" w:eastAsia="MS Mincho" w:hAnsi="Arial" w:cs="Arial"/>
                <w:color w:val="000000"/>
                <w:sz w:val="14"/>
                <w:szCs w:val="16"/>
              </w:rPr>
            </w:pPr>
            <w:r w:rsidRPr="009F5A11">
              <w:rPr>
                <w:rFonts w:ascii="Arial" w:hAnsi="Arial" w:cs="Arial"/>
                <w:color w:val="000000"/>
                <w:sz w:val="14"/>
                <w:szCs w:val="16"/>
                <w:lang w:eastAsia="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80A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en-US"/>
              </w:rPr>
              <w:t>Yes</w:t>
            </w:r>
          </w:p>
        </w:tc>
      </w:tr>
    </w:tbl>
    <w:p w14:paraId="3E510EBA" w14:textId="51465460" w:rsidR="0067218E" w:rsidRPr="009F5A11" w:rsidRDefault="0067218E" w:rsidP="0067218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69"/>
        <w:gridCol w:w="1349"/>
        <w:gridCol w:w="1325"/>
        <w:gridCol w:w="1329"/>
        <w:gridCol w:w="1221"/>
        <w:gridCol w:w="1736"/>
      </w:tblGrid>
      <w:tr w:rsidR="0067218E" w:rsidRPr="009F5A11" w14:paraId="2DDB42C9"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3F7B60D2"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lastRenderedPageBreak/>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B3E22C4" w14:textId="77777777" w:rsidR="0067218E" w:rsidRPr="009F5A11" w:rsidRDefault="0067218E" w:rsidP="0067218E">
            <w:pPr>
              <w:keepNext/>
              <w:keepLines/>
              <w:overflowPunct/>
              <w:autoSpaceDE/>
              <w:autoSpaceDN/>
              <w:adjustRightInd/>
              <w:spacing w:after="0"/>
              <w:jc w:val="center"/>
              <w:textAlignment w:val="auto"/>
              <w:rPr>
                <w:rFonts w:ascii="Arial" w:hAnsi="Arial" w:cs="Arial"/>
                <w:b/>
                <w:color w:val="000000"/>
                <w:sz w:val="16"/>
                <w:szCs w:val="18"/>
              </w:rPr>
            </w:pPr>
            <w:r w:rsidRPr="009F5A11">
              <w:rPr>
                <w:rFonts w:ascii="Arial" w:hAnsi="Arial"/>
                <w:b/>
                <w:color w:val="000000"/>
                <w:sz w:val="16"/>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C8A82D" w14:textId="77777777" w:rsidR="0067218E" w:rsidRPr="009F5A11" w:rsidRDefault="0067218E" w:rsidP="0067218E">
            <w:pPr>
              <w:keepNext/>
              <w:keepLines/>
              <w:overflowPunct/>
              <w:autoSpaceDE/>
              <w:autoSpaceDN/>
              <w:adjustRightInd/>
              <w:spacing w:after="0"/>
              <w:jc w:val="center"/>
              <w:textAlignment w:val="auto"/>
              <w:rPr>
                <w:rFonts w:ascii="Arial" w:hAnsi="Arial"/>
                <w:b/>
                <w:color w:val="000000"/>
                <w:sz w:val="16"/>
                <w:szCs w:val="18"/>
              </w:rPr>
            </w:pPr>
            <w:r w:rsidRPr="009F5A11">
              <w:rPr>
                <w:rFonts w:ascii="Arial" w:hAnsi="Arial"/>
                <w:b/>
                <w:color w:val="000000"/>
                <w:sz w:val="16"/>
                <w:szCs w:val="18"/>
              </w:rPr>
              <w:t>Type</w:t>
            </w:r>
          </w:p>
          <w:p w14:paraId="41E87A46" w14:textId="77777777" w:rsidR="0067218E" w:rsidRPr="009F5A11" w:rsidRDefault="0067218E" w:rsidP="0067218E">
            <w:pPr>
              <w:keepNext/>
              <w:keepLines/>
              <w:overflowPunct/>
              <w:autoSpaceDE/>
              <w:autoSpaceDN/>
              <w:adjustRightInd/>
              <w:spacing w:after="0"/>
              <w:jc w:val="center"/>
              <w:textAlignment w:val="auto"/>
              <w:rPr>
                <w:rFonts w:ascii="Arial" w:hAnsi="Arial" w:cs="Arial"/>
                <w:b/>
                <w:color w:val="000000"/>
                <w:sz w:val="16"/>
                <w:szCs w:val="18"/>
              </w:rPr>
            </w:pPr>
            <w:r w:rsidRPr="009F5A11">
              <w:rPr>
                <w:rFonts w:ascii="Arial" w:hAnsi="Arial"/>
                <w:b/>
                <w:color w:val="000000"/>
                <w:sz w:val="16"/>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A7A48D"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6075E3"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F9755F1"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BC8B52D"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Mandatory/Optional</w:t>
            </w:r>
          </w:p>
        </w:tc>
      </w:tr>
      <w:tr w:rsidR="0067218E" w:rsidRPr="009F5A11" w14:paraId="5687BDF4"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DDEC7"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5640"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CCE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5248B9">
              <w:rPr>
                <w:rFonts w:ascii="Arial" w:hAnsi="Arial" w:cs="Arial"/>
                <w:color w:val="000000"/>
                <w:sz w:val="14"/>
                <w:szCs w:val="16"/>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E3A1"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814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C51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HARQ disabling with Option 1 in CE mode B</w:t>
            </w:r>
          </w:p>
          <w:p w14:paraId="6F2972C0"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242416B4"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this applies to single-TB case</w:t>
            </w:r>
          </w:p>
          <w:p w14:paraId="1787C10C"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4E05B20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en-US"/>
              </w:rPr>
            </w:pPr>
            <w:r w:rsidRPr="005248B9">
              <w:rPr>
                <w:rFonts w:ascii="Arial" w:hAnsi="Arial" w:cs="Arial"/>
                <w:color w:val="000000"/>
                <w:sz w:val="14"/>
                <w:szCs w:val="16"/>
                <w:highlight w:val="yellow"/>
                <w:lang w:eastAsia="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0AD0"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Optional with capability signalling</w:t>
            </w:r>
          </w:p>
        </w:tc>
      </w:tr>
      <w:tr w:rsidR="0067218E" w:rsidRPr="009F5A11" w14:paraId="00B8771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F252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88D5"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45A5"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5248B9">
              <w:rPr>
                <w:rFonts w:ascii="Arial" w:hAnsi="Arial" w:cs="Arial"/>
                <w:color w:val="000000"/>
                <w:sz w:val="14"/>
                <w:szCs w:val="16"/>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A4EE"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1E12"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69B1"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HARQ disabling with Option 3 in CE mode B</w:t>
            </w:r>
          </w:p>
          <w:p w14:paraId="46F453E9"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2643FCB8"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this applies to single-TB case</w:t>
            </w:r>
          </w:p>
          <w:p w14:paraId="1942E7F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36CA2016" w14:textId="77777777" w:rsidR="0067218E" w:rsidRPr="005248B9" w:rsidRDefault="0067218E" w:rsidP="0067218E">
            <w:pPr>
              <w:keepNext/>
              <w:keepLines/>
              <w:overflowPunct/>
              <w:autoSpaceDE/>
              <w:autoSpaceDN/>
              <w:adjustRightInd/>
              <w:spacing w:after="0"/>
              <w:textAlignment w:val="auto"/>
              <w:rPr>
                <w:rFonts w:ascii="Arial" w:hAnsi="Arial" w:cs="Arial"/>
                <w:color w:val="000000"/>
                <w:sz w:val="14"/>
                <w:szCs w:val="16"/>
                <w:highlight w:val="yellow"/>
                <w:lang w:eastAsia="en-US"/>
              </w:rPr>
            </w:pPr>
            <w:bookmarkStart w:id="1" w:name="_Hlk139618966"/>
            <w:r w:rsidRPr="005248B9">
              <w:rPr>
                <w:rFonts w:ascii="Arial" w:hAnsi="Arial" w:cs="Arial"/>
                <w:color w:val="000000"/>
                <w:sz w:val="14"/>
                <w:szCs w:val="16"/>
                <w:highlight w:val="yellow"/>
                <w:lang w:eastAsia="en-US"/>
              </w:rPr>
              <w:t>FFS: whether to merge 2-1a and 2-1b</w:t>
            </w:r>
          </w:p>
          <w:bookmarkEnd w:id="1"/>
          <w:p w14:paraId="033DC3AA" w14:textId="77777777" w:rsidR="0067218E" w:rsidRPr="005248B9" w:rsidRDefault="0067218E" w:rsidP="0067218E">
            <w:pPr>
              <w:keepNext/>
              <w:keepLines/>
              <w:overflowPunct/>
              <w:autoSpaceDE/>
              <w:autoSpaceDN/>
              <w:adjustRightInd/>
              <w:spacing w:after="0"/>
              <w:textAlignment w:val="auto"/>
              <w:rPr>
                <w:rFonts w:ascii="Arial" w:hAnsi="Arial" w:cs="Arial"/>
                <w:color w:val="000000"/>
                <w:sz w:val="14"/>
                <w:szCs w:val="16"/>
                <w:highlight w:val="yellow"/>
                <w:lang w:eastAsia="en-US"/>
              </w:rPr>
            </w:pPr>
            <w:r w:rsidRPr="005248B9">
              <w:rPr>
                <w:rFonts w:ascii="Arial" w:hAnsi="Arial" w:cs="Arial"/>
                <w:color w:val="000000"/>
                <w:sz w:val="14"/>
                <w:szCs w:val="16"/>
                <w:highlight w:val="yellow"/>
                <w:lang w:eastAsia="en-US"/>
              </w:rPr>
              <w:t>FFS: whether to have a separate FG for the combination of FGs 2-1a and 2-1b</w:t>
            </w:r>
          </w:p>
          <w:p w14:paraId="7387F1CC" w14:textId="77777777" w:rsidR="0067218E" w:rsidRPr="005248B9" w:rsidRDefault="0067218E" w:rsidP="0067218E">
            <w:pPr>
              <w:keepNext/>
              <w:keepLines/>
              <w:overflowPunct/>
              <w:autoSpaceDE/>
              <w:autoSpaceDN/>
              <w:adjustRightInd/>
              <w:spacing w:after="0"/>
              <w:textAlignment w:val="auto"/>
              <w:rPr>
                <w:rFonts w:ascii="Arial" w:hAnsi="Arial" w:cs="Arial"/>
                <w:color w:val="000000"/>
                <w:sz w:val="14"/>
                <w:szCs w:val="16"/>
                <w:highlight w:val="yellow"/>
                <w:lang w:eastAsia="en-US"/>
              </w:rPr>
            </w:pPr>
          </w:p>
          <w:p w14:paraId="41542349"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en-US"/>
              </w:rPr>
            </w:pPr>
            <w:r w:rsidRPr="005248B9">
              <w:rPr>
                <w:rFonts w:ascii="Arial" w:hAnsi="Arial" w:cs="Arial"/>
                <w:color w:val="000000"/>
                <w:sz w:val="14"/>
                <w:szCs w:val="16"/>
                <w:highlight w:val="yellow"/>
                <w:lang w:eastAsia="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81F5"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Optional with capability signalling</w:t>
            </w:r>
          </w:p>
        </w:tc>
      </w:tr>
    </w:tbl>
    <w:p w14:paraId="121FCCDB" w14:textId="77777777" w:rsidR="0067218E" w:rsidRPr="009F5A11" w:rsidRDefault="0067218E" w:rsidP="0067218E">
      <w:pPr>
        <w:jc w:val="both"/>
      </w:pPr>
    </w:p>
    <w:p w14:paraId="4E1474B8" w14:textId="6E205DFA" w:rsidR="0067218E" w:rsidRPr="009F5A11" w:rsidRDefault="00314718" w:rsidP="0067218E">
      <w:pPr>
        <w:jc w:val="both"/>
        <w:rPr>
          <w:lang w:eastAsia="zh-CN"/>
        </w:rPr>
      </w:pPr>
      <w:r w:rsidRPr="009F5A11">
        <w:rPr>
          <w:lang w:eastAsia="zh-CN"/>
        </w:rPr>
        <w:t>For FG 2-1a (Semi-static HARQ feedback disabling for eMTC CE mode B) and FG 2-1b (Dynamic HARQ feedback disabling for eMTC CE mode B)</w:t>
      </w:r>
      <w:r w:rsidR="00F959DB" w:rsidRPr="009F5A11">
        <w:rPr>
          <w:lang w:eastAsia="zh-CN"/>
        </w:rPr>
        <w:t xml:space="preserve"> there are </w:t>
      </w:r>
      <w:r w:rsidR="008D47F1">
        <w:rPr>
          <w:lang w:eastAsia="zh-CN"/>
        </w:rPr>
        <w:t>four</w:t>
      </w:r>
      <w:r w:rsidR="00F959DB" w:rsidRPr="009F5A11">
        <w:rPr>
          <w:lang w:eastAsia="zh-CN"/>
        </w:rPr>
        <w:t xml:space="preserve"> comebacks:</w:t>
      </w:r>
    </w:p>
    <w:p w14:paraId="25F02124" w14:textId="2218B619" w:rsidR="00FB41E5" w:rsidRDefault="00FB41E5" w:rsidP="00F959DB">
      <w:pPr>
        <w:pStyle w:val="ListParagraph"/>
        <w:numPr>
          <w:ilvl w:val="0"/>
          <w:numId w:val="25"/>
        </w:numPr>
        <w:jc w:val="both"/>
        <w:rPr>
          <w:rFonts w:ascii="Times New Roman" w:eastAsia="SimSun" w:hAnsi="Times New Roman"/>
          <w:sz w:val="20"/>
          <w:szCs w:val="20"/>
          <w:lang w:val="en-GB" w:eastAsia="zh-CN"/>
        </w:rPr>
      </w:pPr>
      <w:bookmarkStart w:id="2" w:name="_Hlk139621459"/>
      <w:r>
        <w:rPr>
          <w:rFonts w:ascii="Times New Roman" w:eastAsia="SimSun" w:hAnsi="Times New Roman"/>
          <w:sz w:val="20"/>
          <w:szCs w:val="20"/>
          <w:lang w:val="en-GB" w:eastAsia="zh-CN"/>
        </w:rPr>
        <w:t>[Per UE/Per band]</w:t>
      </w:r>
    </w:p>
    <w:p w14:paraId="0B068C61" w14:textId="41A65AA4" w:rsidR="00F959DB" w:rsidRPr="00B010D2" w:rsidRDefault="00F959DB" w:rsidP="00F959DB">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FFS: whether to merge 2-1a and 2-1b</w:t>
      </w:r>
    </w:p>
    <w:p w14:paraId="570BD2D1" w14:textId="4C8AEC46" w:rsidR="00F959DB" w:rsidRPr="00B010D2" w:rsidRDefault="00F959DB" w:rsidP="00F959DB">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FFS: whether to have a separate FG for the combination of FGs 2-1a and 2-1b</w:t>
      </w:r>
    </w:p>
    <w:p w14:paraId="089718AB" w14:textId="16B8F74B" w:rsidR="00F959DB" w:rsidRDefault="00F959DB" w:rsidP="00F959DB">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59A6BA67" w14:textId="77777777" w:rsidR="005248B9" w:rsidRPr="00B010D2" w:rsidRDefault="005248B9" w:rsidP="005248B9">
      <w:pPr>
        <w:pStyle w:val="ListParagraph"/>
        <w:jc w:val="both"/>
        <w:rPr>
          <w:rFonts w:ascii="Times New Roman" w:eastAsia="SimSun" w:hAnsi="Times New Roman"/>
          <w:sz w:val="20"/>
          <w:szCs w:val="20"/>
          <w:lang w:val="en-GB" w:eastAsia="zh-CN"/>
        </w:rPr>
      </w:pPr>
    </w:p>
    <w:p w14:paraId="6C49E3F2" w14:textId="3C8F475A" w:rsidR="005248B9" w:rsidRDefault="005248B9" w:rsidP="005248B9">
      <w:pPr>
        <w:pStyle w:val="Observation"/>
        <w:ind w:left="1701" w:hanging="1701"/>
        <w:rPr>
          <w:lang w:eastAsia="zh-CN"/>
        </w:rPr>
      </w:pPr>
      <w:bookmarkStart w:id="3" w:name="_Toc142516069"/>
      <w:r w:rsidRPr="00B010D2">
        <w:rPr>
          <w:lang w:eastAsia="zh-CN"/>
        </w:rPr>
        <w:t>For FG 2-1a (Semi-static HARQ feedback disabling for eMTC CE mode B) and FG 2-1b (Dynamic HARQ feedback disabling for eMTC CE mode B)</w:t>
      </w:r>
      <w:r>
        <w:rPr>
          <w:lang w:eastAsia="zh-CN"/>
        </w:rPr>
        <w:t xml:space="preserve"> and the “</w:t>
      </w:r>
      <w:r w:rsidR="00FB41E5">
        <w:rPr>
          <w:i/>
          <w:iCs/>
          <w:color w:val="7F7F7F" w:themeColor="text1" w:themeTint="80"/>
          <w:lang w:eastAsia="zh-CN"/>
        </w:rPr>
        <w:t>[Per UE/Per band]</w:t>
      </w:r>
      <w:r>
        <w:rPr>
          <w:lang w:eastAsia="zh-CN"/>
        </w:rPr>
        <w:t xml:space="preserve">”. </w:t>
      </w:r>
      <w:r w:rsidR="005922BD">
        <w:rPr>
          <w:lang w:eastAsia="zh-CN"/>
        </w:rPr>
        <w:t>T</w:t>
      </w:r>
      <w:r w:rsidR="00FB41E5">
        <w:rPr>
          <w:lang w:eastAsia="zh-CN"/>
        </w:rPr>
        <w:t xml:space="preserve">he FGs can be “Per </w:t>
      </w:r>
      <w:r w:rsidR="005922BD">
        <w:rPr>
          <w:lang w:eastAsia="zh-CN"/>
        </w:rPr>
        <w:t>UE</w:t>
      </w:r>
      <w:r w:rsidR="00FB41E5">
        <w:rPr>
          <w:lang w:eastAsia="zh-CN"/>
        </w:rPr>
        <w:t>”</w:t>
      </w:r>
      <w:r w:rsidR="005922BD">
        <w:rPr>
          <w:lang w:eastAsia="zh-CN"/>
        </w:rPr>
        <w:t xml:space="preserve"> since the feature is NTN specific</w:t>
      </w:r>
      <w:r>
        <w:rPr>
          <w:lang w:eastAsia="zh-CN"/>
        </w:rPr>
        <w:t>.</w:t>
      </w:r>
      <w:bookmarkEnd w:id="3"/>
    </w:p>
    <w:p w14:paraId="7E634C57" w14:textId="452EB35C" w:rsidR="00FB41E5" w:rsidRDefault="00FB41E5" w:rsidP="00FB41E5">
      <w:pPr>
        <w:pStyle w:val="Observation"/>
        <w:ind w:left="1701" w:hanging="1701"/>
        <w:rPr>
          <w:lang w:eastAsia="zh-CN"/>
        </w:rPr>
      </w:pPr>
      <w:bookmarkStart w:id="4" w:name="_Toc142516070"/>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merge 2-1a and 2-1b</w:t>
      </w:r>
      <w:r>
        <w:rPr>
          <w:lang w:eastAsia="zh-CN"/>
        </w:rPr>
        <w:t>”. In our view the semi-static and dynamic solution can remain decoupled as separate FGs.</w:t>
      </w:r>
      <w:bookmarkEnd w:id="4"/>
    </w:p>
    <w:p w14:paraId="69BAB5A5" w14:textId="77777777" w:rsidR="005248B9" w:rsidRDefault="005248B9" w:rsidP="005248B9">
      <w:pPr>
        <w:pStyle w:val="Observation"/>
        <w:ind w:left="1701" w:hanging="1701"/>
        <w:rPr>
          <w:lang w:eastAsia="zh-CN"/>
        </w:rPr>
      </w:pPr>
      <w:bookmarkStart w:id="5" w:name="_Toc142516071"/>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have a separate FG for the combination of FGs 2-1a and 2-1b</w:t>
      </w:r>
      <w:r>
        <w:rPr>
          <w:lang w:eastAsia="zh-CN"/>
        </w:rPr>
        <w:t xml:space="preserve">”. In our view there </w:t>
      </w:r>
      <w:r>
        <w:rPr>
          <w:lang w:eastAsia="zh-CN"/>
        </w:rPr>
        <w:lastRenderedPageBreak/>
        <w:t>is no need to have “</w:t>
      </w:r>
      <w:r w:rsidRPr="003F6A93">
        <w:rPr>
          <w:i/>
          <w:iCs/>
          <w:color w:val="7F7F7F" w:themeColor="text1" w:themeTint="80"/>
          <w:lang w:eastAsia="zh-CN"/>
        </w:rPr>
        <w:t>a separate FG for the combination of FGs 2-1a and 2-1b</w:t>
      </w:r>
      <w:r>
        <w:rPr>
          <w:lang w:eastAsia="zh-CN"/>
        </w:rPr>
        <w:t>” since FG 2-b covers both “</w:t>
      </w:r>
      <w:r w:rsidRPr="003F6A93">
        <w:rPr>
          <w:i/>
          <w:iCs/>
          <w:color w:val="7F7F7F" w:themeColor="text1" w:themeTint="80"/>
          <w:lang w:eastAsia="zh-CN"/>
        </w:rPr>
        <w:t>DCI indication to directly indicate / override RRC configuration for disabling HARQ feedback</w:t>
      </w:r>
      <w:r>
        <w:rPr>
          <w:lang w:eastAsia="zh-CN"/>
        </w:rPr>
        <w:t>”. Thus, if FG 2-1a and FG 2-1b are both configured, the latter (i.e., FG 2-1b) would follow the Rel-18 procedures in the technical specifications to act as a “</w:t>
      </w:r>
      <w:r w:rsidRPr="003F6A93">
        <w:rPr>
          <w:i/>
          <w:iCs/>
          <w:color w:val="7F7F7F" w:themeColor="text1" w:themeTint="80"/>
          <w:lang w:eastAsia="zh-CN"/>
        </w:rPr>
        <w:t>DCI indication to override RRC configuration</w:t>
      </w:r>
      <w:r>
        <w:rPr>
          <w:lang w:eastAsia="zh-CN"/>
        </w:rPr>
        <w:t>”.</w:t>
      </w:r>
      <w:bookmarkEnd w:id="5"/>
    </w:p>
    <w:p w14:paraId="3AD76929" w14:textId="5B5A433C" w:rsidR="005248B9" w:rsidRDefault="005248B9" w:rsidP="005248B9">
      <w:pPr>
        <w:pStyle w:val="Observation"/>
        <w:ind w:left="1701" w:hanging="1701"/>
        <w:rPr>
          <w:lang w:eastAsia="zh-CN"/>
        </w:rPr>
      </w:pPr>
      <w:bookmarkStart w:id="6" w:name="_Toc142516072"/>
      <w:r w:rsidRPr="00B010D2">
        <w:rPr>
          <w:lang w:eastAsia="zh-CN"/>
        </w:rPr>
        <w:t>For FG 2-1a (Semi-static HARQ feedback disabling for eMTC CE mode B) and FG 2-1b (Dynamic HARQ feedback disabling for eMTC CE mode B)</w:t>
      </w:r>
      <w:r>
        <w:rPr>
          <w:lang w:eastAsia="zh-CN"/>
        </w:rPr>
        <w:t xml:space="preserve"> and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that relevant</w:t>
      </w:r>
      <w:r>
        <w:rPr>
          <w:lang w:eastAsia="zh-CN"/>
        </w:rPr>
        <w:t xml:space="preserve"> (i.e., the trade-off between Enabling/Disabling for a given satellite orbit can be achieved through the Enabling/Disabling switching solutions </w:t>
      </w:r>
      <w:bookmarkStart w:id="7" w:name="_Hlk139622408"/>
      <w:r>
        <w:rPr>
          <w:lang w:eastAsia="zh-CN"/>
        </w:rPr>
        <w:t xml:space="preserve">rather than through introducing additional signalling </w:t>
      </w:r>
      <w:r w:rsidR="0087329D">
        <w:rPr>
          <w:lang w:eastAsia="zh-CN"/>
        </w:rPr>
        <w:t>for</w:t>
      </w:r>
      <w:r>
        <w:rPr>
          <w:lang w:eastAsia="zh-CN"/>
        </w:rPr>
        <w:t xml:space="preserve"> allowing or not the use of disabling HARQ feedback for a given satellite orbit</w:t>
      </w:r>
      <w:bookmarkEnd w:id="7"/>
      <w:r>
        <w:rPr>
          <w:lang w:eastAsia="zh-CN"/>
        </w:rPr>
        <w:t>).</w:t>
      </w:r>
      <w:bookmarkEnd w:id="6"/>
    </w:p>
    <w:p w14:paraId="74EA2B26" w14:textId="768C3C05" w:rsidR="005248B9" w:rsidRDefault="005248B9" w:rsidP="005248B9">
      <w:pPr>
        <w:pStyle w:val="Proposal"/>
      </w:pPr>
      <w:bookmarkStart w:id="8" w:name="_Toc142516075"/>
      <w:r w:rsidRPr="009F5A11">
        <w:t xml:space="preserve">For </w:t>
      </w:r>
      <w:r w:rsidR="00C249F7">
        <w:t xml:space="preserve">the comebacks on </w:t>
      </w:r>
      <w:r w:rsidRPr="009F5A11">
        <w:t>FG 2-1a (Semi-static HARQ feedback disabling for eMTC CE mode B) and FG 2-1b (Dynamic HARQ feedback disabling for eMTC CE mode B):</w:t>
      </w:r>
      <w:bookmarkEnd w:id="8"/>
    </w:p>
    <w:p w14:paraId="7E84C4BA" w14:textId="672102DA" w:rsidR="00C249F7" w:rsidRPr="00C249F7" w:rsidRDefault="00C249F7" w:rsidP="005248B9">
      <w:pPr>
        <w:pStyle w:val="Proposal"/>
        <w:numPr>
          <w:ilvl w:val="0"/>
          <w:numId w:val="28"/>
        </w:numPr>
      </w:pPr>
      <w:bookmarkStart w:id="9" w:name="_Toc142516076"/>
      <w:r w:rsidRPr="00C249F7">
        <w:rPr>
          <w:color w:val="7F7F7F" w:themeColor="text1" w:themeTint="80"/>
        </w:rPr>
        <w:t xml:space="preserve">[Per UE/Per band]: </w:t>
      </w:r>
      <w:r w:rsidR="005922BD">
        <w:t>T</w:t>
      </w:r>
      <w:r w:rsidRPr="00C249F7">
        <w:t xml:space="preserve">he FGs can be “Per </w:t>
      </w:r>
      <w:r w:rsidR="005922BD">
        <w:t>UE</w:t>
      </w:r>
      <w:r w:rsidRPr="00C249F7">
        <w:t>”</w:t>
      </w:r>
      <w:r w:rsidR="005922BD">
        <w:t xml:space="preserve"> since the feature is NTN specific</w:t>
      </w:r>
      <w:r w:rsidRPr="00C249F7">
        <w:t>.</w:t>
      </w:r>
      <w:bookmarkEnd w:id="9"/>
    </w:p>
    <w:p w14:paraId="5686482A" w14:textId="3BCE905B" w:rsidR="005248B9" w:rsidRDefault="005248B9" w:rsidP="005248B9">
      <w:pPr>
        <w:pStyle w:val="Proposal"/>
        <w:numPr>
          <w:ilvl w:val="0"/>
          <w:numId w:val="28"/>
        </w:numPr>
      </w:pPr>
      <w:bookmarkStart w:id="10" w:name="_Toc142516077"/>
      <w:r w:rsidRPr="00680673">
        <w:rPr>
          <w:color w:val="7F7F7F" w:themeColor="text1" w:themeTint="80"/>
        </w:rPr>
        <w:t xml:space="preserve">FFS: whether to merge 2-1a and 2-1b: </w:t>
      </w:r>
      <w:r>
        <w:t xml:space="preserve">No merging of 2-1a and 2-1b, </w:t>
      </w:r>
      <w:r w:rsidRPr="00680673">
        <w:t>the semi-static and dynamic solution can remain decoupled as separate FGs</w:t>
      </w:r>
      <w:r>
        <w:t>.</w:t>
      </w:r>
      <w:bookmarkEnd w:id="10"/>
    </w:p>
    <w:p w14:paraId="788B5ABB" w14:textId="39657569" w:rsidR="005248B9" w:rsidRDefault="005248B9" w:rsidP="005248B9">
      <w:pPr>
        <w:pStyle w:val="Proposal"/>
        <w:numPr>
          <w:ilvl w:val="0"/>
          <w:numId w:val="28"/>
        </w:numPr>
      </w:pPr>
      <w:bookmarkStart w:id="11" w:name="_Toc142516078"/>
      <w:r w:rsidRPr="00680673">
        <w:rPr>
          <w:color w:val="7F7F7F" w:themeColor="text1" w:themeTint="80"/>
        </w:rPr>
        <w:t xml:space="preserve">FFS: whether to have a separate FG for the combination of FGs 2-1a and 2-1b: </w:t>
      </w:r>
      <w:r>
        <w:t xml:space="preserve">There is no need to have a separate FG, because </w:t>
      </w:r>
      <w:r w:rsidRPr="00680673">
        <w:t>if FG 2-1a and FG 2-1b are both configured, the latter (i.e., FG 2-1b</w:t>
      </w:r>
      <w:r>
        <w:t xml:space="preserve">,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00284360" w:rsidRPr="00284360">
        <w:t xml:space="preserve">acting as a DCI solution to “Override RRC configuration,” otherwise </w:t>
      </w:r>
      <w:r w:rsidR="002B36D4">
        <w:t>(i.e., when only “</w:t>
      </w:r>
      <w:r w:rsidR="002B36D4" w:rsidRPr="00680673">
        <w:t>FG 2-1b</w:t>
      </w:r>
      <w:r w:rsidR="002B36D4">
        <w:t xml:space="preserve">” is configured) </w:t>
      </w:r>
      <w:r w:rsidR="00284360" w:rsidRPr="00284360">
        <w:t>it will act as “DCI direct indication”</w:t>
      </w:r>
      <w:r w:rsidRPr="00680673">
        <w:t>.</w:t>
      </w:r>
      <w:bookmarkEnd w:id="11"/>
    </w:p>
    <w:p w14:paraId="62E1BE32" w14:textId="6FFF30B5" w:rsidR="005D0A0A" w:rsidRPr="005248B9" w:rsidRDefault="005D0A0A" w:rsidP="005D0A0A">
      <w:pPr>
        <w:pStyle w:val="Proposal"/>
        <w:numPr>
          <w:ilvl w:val="0"/>
          <w:numId w:val="28"/>
        </w:numPr>
      </w:pPr>
      <w:bookmarkStart w:id="12" w:name="_Toc142516079"/>
      <w:r w:rsidRPr="00680673">
        <w:rPr>
          <w:color w:val="7F7F7F" w:themeColor="text1" w:themeTint="80"/>
        </w:rPr>
        <w:t xml:space="preserve">[Note: RAN1 kindly asks RAN2 to design signalling such that GSO/NGSO differentiation is possible]: </w:t>
      </w:r>
      <w:r>
        <w:t>No signalling for GSO/NGSO differentiation seems to be needed.  Allowing or not</w:t>
      </w:r>
      <w:r w:rsidR="00810C6B">
        <w:t xml:space="preserve"> “</w:t>
      </w:r>
      <w:r>
        <w:t>disabling HARQ feedback</w:t>
      </w:r>
      <w:r w:rsidR="00810C6B">
        <w:t>”</w:t>
      </w:r>
      <w:r>
        <w:t xml:space="preserve">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bookmarkEnd w:id="12"/>
    </w:p>
    <w:p w14:paraId="50F3B982" w14:textId="2360A13C" w:rsidR="005248B9" w:rsidRDefault="00DB5FCB" w:rsidP="00DB5FCB">
      <w:pPr>
        <w:pStyle w:val="Heading3"/>
        <w:rPr>
          <w:lang w:eastAsia="zh-CN"/>
        </w:rPr>
      </w:pPr>
      <w:r>
        <w:rPr>
          <w:lang w:eastAsia="zh-CN"/>
        </w:rPr>
        <w:t>2.1.2</w:t>
      </w:r>
      <w:r>
        <w:rPr>
          <w:lang w:eastAsia="zh-CN"/>
        </w:rPr>
        <w:tab/>
        <w:t xml:space="preserve">FGs </w:t>
      </w:r>
      <w:r>
        <w:t>associated to CE Mode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582"/>
        <w:gridCol w:w="1776"/>
        <w:gridCol w:w="3314"/>
        <w:gridCol w:w="1267"/>
        <w:gridCol w:w="1558"/>
      </w:tblGrid>
      <w:tr w:rsidR="005248B9" w:rsidRPr="005248B9" w14:paraId="38ACE4FA"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471CF1B8"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3C72018D"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CB252AA"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01A38CB"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6901B975"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34A50F"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Need for the eNB to know if the feature is supported</w:t>
            </w:r>
          </w:p>
        </w:tc>
      </w:tr>
      <w:tr w:rsidR="005248B9" w:rsidRPr="005248B9" w14:paraId="48E0B7DA"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3612E" w14:textId="77777777" w:rsidR="005248B9" w:rsidRPr="005248B9" w:rsidRDefault="005248B9" w:rsidP="002571A2">
            <w:pPr>
              <w:pStyle w:val="TAL"/>
              <w:rPr>
                <w:rFonts w:cs="Arial"/>
                <w:color w:val="000000" w:themeColor="text1"/>
                <w:sz w:val="14"/>
                <w:szCs w:val="16"/>
                <w:lang w:eastAsia="ja-JP"/>
              </w:rPr>
            </w:pPr>
            <w:r w:rsidRPr="005248B9">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E500" w14:textId="77777777" w:rsidR="005248B9" w:rsidRPr="005248B9" w:rsidRDefault="005248B9" w:rsidP="002571A2">
            <w:pPr>
              <w:pStyle w:val="TAL"/>
              <w:rPr>
                <w:rFonts w:cs="Arial"/>
                <w:color w:val="000000" w:themeColor="text1"/>
                <w:sz w:val="14"/>
                <w:szCs w:val="16"/>
                <w:lang w:eastAsia="ja-JP"/>
              </w:rPr>
            </w:pPr>
            <w:r w:rsidRPr="005248B9">
              <w:rPr>
                <w:rFonts w:cs="Arial"/>
                <w:color w:val="000000" w:themeColor="text1"/>
                <w:sz w:val="14"/>
                <w:szCs w:val="16"/>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E8D2" w14:textId="77777777" w:rsidR="005248B9" w:rsidRPr="005248B9" w:rsidRDefault="005248B9" w:rsidP="002571A2">
            <w:pPr>
              <w:pStyle w:val="TAL"/>
              <w:rPr>
                <w:rFonts w:cs="Arial"/>
                <w:color w:val="000000" w:themeColor="text1"/>
                <w:sz w:val="14"/>
                <w:szCs w:val="16"/>
                <w:lang w:eastAsia="zh-CN"/>
              </w:rPr>
            </w:pPr>
            <w:bookmarkStart w:id="13" w:name="_Hlk139624485"/>
            <w:r w:rsidRPr="005248B9">
              <w:rPr>
                <w:rFonts w:cs="Arial"/>
                <w:color w:val="000000" w:themeColor="text1"/>
                <w:sz w:val="14"/>
                <w:szCs w:val="16"/>
                <w:lang w:val="en-US" w:eastAsia="zh-CN"/>
              </w:rPr>
              <w:t>Semi-static HARQ feedback disabling for eMTC CE mode A</w:t>
            </w:r>
            <w:bookmarkEnd w:id="1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A67E" w14:textId="77777777" w:rsidR="005248B9" w:rsidRPr="005248B9" w:rsidRDefault="005248B9" w:rsidP="002571A2">
            <w:pPr>
              <w:rPr>
                <w:rFonts w:ascii="Arial" w:hAnsi="Arial" w:cs="Arial"/>
                <w:color w:val="000000" w:themeColor="text1"/>
                <w:sz w:val="14"/>
                <w:szCs w:val="16"/>
              </w:rPr>
            </w:pPr>
            <w:r w:rsidRPr="005248B9">
              <w:rPr>
                <w:rFonts w:ascii="Arial" w:eastAsiaTheme="minorEastAsia" w:hAnsi="Arial" w:cs="Arial"/>
                <w:color w:val="000000" w:themeColor="text1"/>
                <w:sz w:val="14"/>
                <w:szCs w:val="16"/>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40052" w14:textId="77777777" w:rsidR="005248B9" w:rsidRPr="005248B9" w:rsidRDefault="005248B9" w:rsidP="002571A2">
            <w:pPr>
              <w:pStyle w:val="TAL"/>
              <w:rPr>
                <w:rFonts w:eastAsia="MS Mincho" w:cs="Arial"/>
                <w:color w:val="000000" w:themeColor="text1"/>
                <w:sz w:val="14"/>
                <w:szCs w:val="16"/>
                <w:lang w:eastAsia="ja-JP"/>
              </w:rPr>
            </w:pPr>
            <w:r w:rsidRPr="005248B9">
              <w:rPr>
                <w:rFonts w:cs="Arial"/>
                <w:color w:val="000000" w:themeColor="text1"/>
                <w:sz w:val="14"/>
                <w:szCs w:val="16"/>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2DBE" w14:textId="77777777" w:rsidR="005248B9" w:rsidRPr="005248B9" w:rsidRDefault="005248B9" w:rsidP="002571A2">
            <w:pPr>
              <w:pStyle w:val="TAL"/>
              <w:rPr>
                <w:rFonts w:cs="Arial"/>
                <w:color w:val="000000" w:themeColor="text1"/>
                <w:sz w:val="14"/>
                <w:szCs w:val="16"/>
                <w:lang w:eastAsia="zh-CN"/>
              </w:rPr>
            </w:pPr>
            <w:r w:rsidRPr="005248B9">
              <w:rPr>
                <w:rFonts w:cs="Arial"/>
                <w:color w:val="000000" w:themeColor="text1"/>
                <w:sz w:val="14"/>
                <w:szCs w:val="16"/>
                <w:lang w:val="en-US"/>
              </w:rPr>
              <w:t>Yes</w:t>
            </w:r>
          </w:p>
        </w:tc>
      </w:tr>
      <w:tr w:rsidR="005248B9" w:rsidRPr="005248B9" w14:paraId="6D5464B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9FA43" w14:textId="77777777" w:rsidR="005248B9" w:rsidRPr="005248B9" w:rsidRDefault="005248B9" w:rsidP="002571A2">
            <w:pPr>
              <w:pStyle w:val="TAL"/>
              <w:rPr>
                <w:rFonts w:cs="Arial"/>
                <w:color w:val="000000" w:themeColor="text1"/>
                <w:sz w:val="14"/>
                <w:szCs w:val="16"/>
                <w:lang w:eastAsia="ja-JP"/>
              </w:rPr>
            </w:pPr>
            <w:r w:rsidRPr="005248B9">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D4E6" w14:textId="77777777" w:rsidR="005248B9" w:rsidRPr="005248B9" w:rsidRDefault="005248B9" w:rsidP="002571A2">
            <w:pPr>
              <w:pStyle w:val="TAL"/>
              <w:rPr>
                <w:rFonts w:eastAsia="MS Mincho" w:cs="Arial"/>
                <w:color w:val="000000" w:themeColor="text1"/>
                <w:sz w:val="14"/>
                <w:szCs w:val="16"/>
                <w:lang w:eastAsia="ja-JP"/>
              </w:rPr>
            </w:pPr>
            <w:r w:rsidRPr="005248B9">
              <w:rPr>
                <w:rFonts w:cs="Arial"/>
                <w:color w:val="000000" w:themeColor="text1"/>
                <w:sz w:val="14"/>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5F6F" w14:textId="77777777" w:rsidR="005248B9" w:rsidRPr="005248B9" w:rsidRDefault="005248B9" w:rsidP="002571A2">
            <w:pPr>
              <w:pStyle w:val="TAL"/>
              <w:rPr>
                <w:rFonts w:cs="Arial"/>
                <w:color w:val="000000" w:themeColor="text1"/>
                <w:sz w:val="14"/>
                <w:szCs w:val="16"/>
              </w:rPr>
            </w:pPr>
            <w:r w:rsidRPr="005248B9">
              <w:rPr>
                <w:rFonts w:cs="Arial"/>
                <w:color w:val="000000" w:themeColor="text1"/>
                <w:sz w:val="14"/>
                <w:szCs w:val="16"/>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408" w14:textId="77777777" w:rsidR="005248B9" w:rsidRPr="005248B9" w:rsidRDefault="005248B9" w:rsidP="002571A2">
            <w:pPr>
              <w:rPr>
                <w:rFonts w:ascii="Arial" w:eastAsiaTheme="minorEastAsia" w:hAnsi="Arial" w:cs="Arial"/>
                <w:color w:val="000000" w:themeColor="text1"/>
                <w:sz w:val="14"/>
                <w:szCs w:val="16"/>
                <w:lang w:eastAsia="en-US"/>
              </w:rPr>
            </w:pPr>
            <w:r w:rsidRPr="005248B9">
              <w:rPr>
                <w:rFonts w:ascii="Arial" w:eastAsiaTheme="minorEastAsia" w:hAnsi="Arial" w:cs="Arial"/>
                <w:color w:val="000000" w:themeColor="text1"/>
                <w:sz w:val="14"/>
                <w:szCs w:val="16"/>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9785" w14:textId="77777777" w:rsidR="005248B9" w:rsidRPr="005248B9" w:rsidRDefault="005248B9" w:rsidP="002571A2">
            <w:pPr>
              <w:pStyle w:val="TAL"/>
              <w:rPr>
                <w:rFonts w:eastAsia="MS Mincho" w:cs="Arial"/>
                <w:color w:val="000000" w:themeColor="text1"/>
                <w:sz w:val="14"/>
                <w:szCs w:val="16"/>
                <w:lang w:eastAsia="ja-JP"/>
              </w:rPr>
            </w:pPr>
            <w:r w:rsidRPr="005248B9">
              <w:rPr>
                <w:rFonts w:cs="Arial"/>
                <w:color w:val="000000" w:themeColor="text1"/>
                <w:sz w:val="14"/>
                <w:szCs w:val="16"/>
              </w:rPr>
              <w:t xml:space="preserve">Rel. 17 </w:t>
            </w:r>
            <w:r w:rsidRPr="005248B9">
              <w:rPr>
                <w:rFonts w:cs="Arial"/>
                <w:color w:val="000000" w:themeColor="text1"/>
                <w:sz w:val="14"/>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C9BF" w14:textId="77777777" w:rsidR="005248B9" w:rsidRPr="005248B9" w:rsidRDefault="005248B9" w:rsidP="002571A2">
            <w:pPr>
              <w:pStyle w:val="TAL"/>
              <w:rPr>
                <w:rFonts w:cs="Arial"/>
                <w:color w:val="000000" w:themeColor="text1"/>
                <w:sz w:val="14"/>
                <w:szCs w:val="16"/>
                <w:lang w:eastAsia="zh-CN"/>
              </w:rPr>
            </w:pPr>
            <w:r w:rsidRPr="005248B9">
              <w:rPr>
                <w:rFonts w:cs="Arial"/>
                <w:color w:val="000000" w:themeColor="text1"/>
                <w:sz w:val="14"/>
                <w:szCs w:val="16"/>
              </w:rPr>
              <w:t>Yes</w:t>
            </w:r>
          </w:p>
        </w:tc>
      </w:tr>
    </w:tbl>
    <w:p w14:paraId="64D47F1A" w14:textId="77777777" w:rsidR="005248B9" w:rsidRDefault="005248B9" w:rsidP="005248B9">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367"/>
        <w:gridCol w:w="1447"/>
        <w:gridCol w:w="1220"/>
        <w:gridCol w:w="1253"/>
        <w:gridCol w:w="1367"/>
        <w:gridCol w:w="1574"/>
      </w:tblGrid>
      <w:tr w:rsidR="005248B9" w:rsidRPr="005248B9" w14:paraId="5E121ADD"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66A5031A"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lastRenderedPageBreak/>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374F11B" w14:textId="77777777" w:rsidR="005248B9" w:rsidRPr="005248B9" w:rsidRDefault="005248B9" w:rsidP="002571A2">
            <w:pPr>
              <w:pStyle w:val="TAN"/>
              <w:ind w:left="0" w:firstLine="0"/>
              <w:jc w:val="center"/>
              <w:rPr>
                <w:rFonts w:asciiTheme="majorHAnsi" w:hAnsiTheme="majorHAnsi" w:cstheme="majorHAnsi"/>
                <w:b/>
                <w:color w:val="000000" w:themeColor="text1"/>
                <w:sz w:val="14"/>
                <w:szCs w:val="14"/>
                <w:lang w:eastAsia="ja-JP"/>
              </w:rPr>
            </w:pPr>
            <w:r w:rsidRPr="005248B9">
              <w:rPr>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5291E5" w14:textId="77777777" w:rsidR="005248B9" w:rsidRPr="005248B9" w:rsidRDefault="005248B9" w:rsidP="002571A2">
            <w:pPr>
              <w:pStyle w:val="TAN"/>
              <w:ind w:left="0" w:firstLine="0"/>
              <w:jc w:val="center"/>
              <w:rPr>
                <w:b/>
                <w:color w:val="000000" w:themeColor="text1"/>
                <w:sz w:val="14"/>
                <w:szCs w:val="14"/>
                <w:lang w:eastAsia="ja-JP"/>
              </w:rPr>
            </w:pPr>
            <w:r w:rsidRPr="005248B9">
              <w:rPr>
                <w:b/>
                <w:color w:val="000000" w:themeColor="text1"/>
                <w:sz w:val="14"/>
                <w:szCs w:val="14"/>
                <w:lang w:eastAsia="ja-JP"/>
              </w:rPr>
              <w:t>Type</w:t>
            </w:r>
          </w:p>
          <w:p w14:paraId="32B3C60C" w14:textId="77777777" w:rsidR="005248B9" w:rsidRPr="005248B9" w:rsidRDefault="005248B9" w:rsidP="002571A2">
            <w:pPr>
              <w:pStyle w:val="TAN"/>
              <w:ind w:left="0" w:firstLine="0"/>
              <w:jc w:val="center"/>
              <w:rPr>
                <w:rFonts w:asciiTheme="majorHAnsi" w:hAnsiTheme="majorHAnsi" w:cstheme="majorHAnsi"/>
                <w:b/>
                <w:color w:val="000000" w:themeColor="text1"/>
                <w:sz w:val="14"/>
                <w:szCs w:val="14"/>
                <w:lang w:eastAsia="ja-JP"/>
              </w:rPr>
            </w:pPr>
            <w:r w:rsidRPr="005248B9">
              <w:rPr>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C19B9E"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F7BCD65"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B838318"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6F48FCAB"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Mandatory/Optional</w:t>
            </w:r>
          </w:p>
        </w:tc>
      </w:tr>
      <w:tr w:rsidR="005248B9" w:rsidRPr="005248B9" w14:paraId="39220B4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975D5"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A5F79"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lang w:val="en-US"/>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5870" w14:textId="77777777" w:rsidR="005248B9" w:rsidRPr="005248B9" w:rsidRDefault="005248B9" w:rsidP="002571A2">
            <w:pPr>
              <w:pStyle w:val="TAL"/>
              <w:rPr>
                <w:rFonts w:cs="Arial"/>
                <w:color w:val="000000" w:themeColor="text1"/>
                <w:sz w:val="14"/>
                <w:szCs w:val="14"/>
                <w:lang w:eastAsia="zh-CN"/>
              </w:rPr>
            </w:pPr>
            <w:r w:rsidRPr="005248B9">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6BFF"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EF07"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ADC5"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lang w:val="en-US" w:eastAsia="zh-CN"/>
              </w:rPr>
              <w:t>Note: HARQ disabling with Option 1 in C mode A</w:t>
            </w:r>
          </w:p>
          <w:p w14:paraId="6F0E2A51" w14:textId="77777777" w:rsidR="005248B9" w:rsidRPr="005248B9" w:rsidRDefault="005248B9" w:rsidP="002571A2">
            <w:pPr>
              <w:pStyle w:val="TAL"/>
              <w:rPr>
                <w:rFonts w:cs="Arial"/>
                <w:color w:val="000000" w:themeColor="text1"/>
                <w:sz w:val="14"/>
                <w:szCs w:val="14"/>
                <w:lang w:val="en-US" w:eastAsia="zh-CN"/>
              </w:rPr>
            </w:pPr>
          </w:p>
          <w:p w14:paraId="0D7A57C5"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lang w:val="en-US" w:eastAsia="zh-CN"/>
              </w:rPr>
              <w:t>Note: this applies to single-TB case</w:t>
            </w:r>
          </w:p>
          <w:p w14:paraId="2985DB3D" w14:textId="77777777" w:rsidR="005248B9" w:rsidRPr="005248B9" w:rsidRDefault="005248B9" w:rsidP="002571A2">
            <w:pPr>
              <w:pStyle w:val="TAL"/>
              <w:rPr>
                <w:rFonts w:cs="Arial"/>
                <w:color w:val="000000" w:themeColor="text1"/>
                <w:sz w:val="14"/>
                <w:szCs w:val="14"/>
                <w:lang w:val="en-US" w:eastAsia="zh-CN"/>
              </w:rPr>
            </w:pPr>
          </w:p>
          <w:p w14:paraId="0F386F42" w14:textId="77777777" w:rsidR="005248B9" w:rsidRPr="005248B9" w:rsidRDefault="005248B9" w:rsidP="002571A2">
            <w:pPr>
              <w:pStyle w:val="TAL"/>
              <w:rPr>
                <w:rFonts w:cs="Arial"/>
                <w:color w:val="000000" w:themeColor="text1"/>
                <w:sz w:val="14"/>
                <w:szCs w:val="14"/>
              </w:rPr>
            </w:pPr>
            <w:r w:rsidRPr="005248B9">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DE05"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Optional with capability signalling</w:t>
            </w:r>
          </w:p>
        </w:tc>
      </w:tr>
      <w:tr w:rsidR="005248B9" w:rsidRPr="005248B9" w14:paraId="2E0FE2E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79C1A"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8536"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3473" w14:textId="77777777" w:rsidR="005248B9" w:rsidRPr="005248B9" w:rsidRDefault="005248B9" w:rsidP="002571A2">
            <w:pPr>
              <w:pStyle w:val="TAL"/>
              <w:rPr>
                <w:rFonts w:cs="Arial"/>
                <w:color w:val="000000" w:themeColor="text1"/>
                <w:sz w:val="14"/>
                <w:szCs w:val="14"/>
                <w:lang w:eastAsia="zh-CN"/>
              </w:rPr>
            </w:pPr>
            <w:r w:rsidRPr="005248B9">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CC5C"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C230"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559F7" w14:textId="77777777" w:rsidR="005248B9" w:rsidRPr="005248B9" w:rsidRDefault="005248B9" w:rsidP="002571A2">
            <w:pPr>
              <w:pStyle w:val="TAL"/>
              <w:rPr>
                <w:rFonts w:cs="Arial"/>
                <w:color w:val="000000" w:themeColor="text1"/>
                <w:sz w:val="14"/>
                <w:szCs w:val="14"/>
              </w:rPr>
            </w:pPr>
            <w:r w:rsidRPr="005248B9">
              <w:rPr>
                <w:rFonts w:cs="Arial"/>
                <w:color w:val="000000" w:themeColor="text1"/>
                <w:sz w:val="14"/>
                <w:szCs w:val="14"/>
              </w:rPr>
              <w:t>Note: HARQ disabling with Option 1 in C mode A</w:t>
            </w:r>
          </w:p>
          <w:p w14:paraId="36395137" w14:textId="77777777" w:rsidR="005248B9" w:rsidRPr="005248B9" w:rsidRDefault="005248B9" w:rsidP="002571A2">
            <w:pPr>
              <w:pStyle w:val="TAL"/>
              <w:rPr>
                <w:rFonts w:cs="Arial"/>
                <w:color w:val="000000" w:themeColor="text1"/>
                <w:sz w:val="14"/>
                <w:szCs w:val="14"/>
              </w:rPr>
            </w:pPr>
          </w:p>
          <w:p w14:paraId="4FED87D1" w14:textId="77777777" w:rsidR="005248B9" w:rsidRPr="005248B9" w:rsidRDefault="005248B9" w:rsidP="002571A2">
            <w:pPr>
              <w:pStyle w:val="TAL"/>
              <w:rPr>
                <w:rFonts w:cs="Arial"/>
                <w:color w:val="000000" w:themeColor="text1"/>
                <w:sz w:val="14"/>
                <w:szCs w:val="14"/>
                <w:highlight w:val="yellow"/>
              </w:rPr>
            </w:pPr>
            <w:r w:rsidRPr="005248B9">
              <w:rPr>
                <w:rFonts w:cs="Arial"/>
                <w:color w:val="000000" w:themeColor="text1"/>
                <w:sz w:val="14"/>
                <w:szCs w:val="14"/>
                <w:highlight w:val="yellow"/>
              </w:rPr>
              <w:t>FFS: whether to merge 2-1d and 2-2</w:t>
            </w:r>
          </w:p>
          <w:p w14:paraId="668038C9" w14:textId="77777777" w:rsidR="005248B9" w:rsidRPr="005248B9" w:rsidRDefault="005248B9" w:rsidP="002571A2">
            <w:pPr>
              <w:pStyle w:val="TAL"/>
              <w:rPr>
                <w:rFonts w:cs="Arial"/>
                <w:color w:val="000000" w:themeColor="text1"/>
                <w:sz w:val="14"/>
                <w:szCs w:val="14"/>
                <w:highlight w:val="yellow"/>
              </w:rPr>
            </w:pPr>
          </w:p>
          <w:p w14:paraId="600F6B62" w14:textId="77777777" w:rsidR="005248B9" w:rsidRPr="005248B9" w:rsidRDefault="005248B9" w:rsidP="002571A2">
            <w:pPr>
              <w:pStyle w:val="TAL"/>
              <w:rPr>
                <w:rFonts w:cs="Arial"/>
                <w:color w:val="000000" w:themeColor="text1"/>
                <w:sz w:val="14"/>
                <w:szCs w:val="14"/>
              </w:rPr>
            </w:pPr>
            <w:r w:rsidRPr="005248B9">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6BD0"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Optional with capability signalling</w:t>
            </w:r>
          </w:p>
        </w:tc>
      </w:tr>
    </w:tbl>
    <w:p w14:paraId="56A3D812" w14:textId="77777777" w:rsidR="005248B9" w:rsidRDefault="005248B9" w:rsidP="005248B9">
      <w:pPr>
        <w:jc w:val="both"/>
        <w:rPr>
          <w:lang w:eastAsia="zh-CN"/>
        </w:rPr>
      </w:pPr>
    </w:p>
    <w:p w14:paraId="78701ECD" w14:textId="5B40F921" w:rsidR="00BE54CD" w:rsidRDefault="00BE54CD" w:rsidP="00BE54CD">
      <w:pPr>
        <w:pStyle w:val="Proposal"/>
      </w:pPr>
      <w:bookmarkStart w:id="14" w:name="_Toc142516080"/>
      <w:r w:rsidRPr="009F5A11">
        <w:t xml:space="preserve">For </w:t>
      </w:r>
      <w:r>
        <w:t xml:space="preserve">the comebacks on </w:t>
      </w:r>
      <w:r w:rsidRPr="009F5A11">
        <w:t>FG 2-1</w:t>
      </w:r>
      <w:r>
        <w:t>d</w:t>
      </w:r>
      <w:r w:rsidRPr="009F5A11">
        <w:t xml:space="preserve"> (</w:t>
      </w:r>
      <w:r w:rsidRPr="00BE54CD">
        <w:t>Semi-static HARQ feedback disabling for eMTC CE mode A</w:t>
      </w:r>
      <w:r w:rsidRPr="009F5A11">
        <w:t>) and FG 2-</w:t>
      </w:r>
      <w:r>
        <w:t>2</w:t>
      </w:r>
      <w:r w:rsidRPr="009F5A11">
        <w:t xml:space="preserve"> (</w:t>
      </w:r>
      <w:r w:rsidRPr="00BE54CD">
        <w:t>Semi-static HARQ feedback disabling for SPS PDSCH for eMTC CE Mode A</w:t>
      </w:r>
      <w:r w:rsidRPr="009F5A11">
        <w:t>):</w:t>
      </w:r>
      <w:bookmarkEnd w:id="14"/>
    </w:p>
    <w:p w14:paraId="005A9CBB" w14:textId="14B98B6A" w:rsidR="00BE54CD" w:rsidRPr="00C249F7" w:rsidRDefault="00BE54CD" w:rsidP="00BE54CD">
      <w:pPr>
        <w:pStyle w:val="Proposal"/>
        <w:numPr>
          <w:ilvl w:val="0"/>
          <w:numId w:val="28"/>
        </w:numPr>
      </w:pPr>
      <w:bookmarkStart w:id="15" w:name="_Toc142516081"/>
      <w:r w:rsidRPr="00C249F7">
        <w:rPr>
          <w:color w:val="7F7F7F" w:themeColor="text1" w:themeTint="80"/>
        </w:rPr>
        <w:t xml:space="preserve">[Per UE/Per band]: </w:t>
      </w:r>
      <w:r w:rsidR="005922BD">
        <w:t>T</w:t>
      </w:r>
      <w:r w:rsidRPr="00C249F7">
        <w:t xml:space="preserve">he FGs can be “Per </w:t>
      </w:r>
      <w:r w:rsidR="005922BD">
        <w:t>UE</w:t>
      </w:r>
      <w:r w:rsidRPr="00C249F7">
        <w:t>”</w:t>
      </w:r>
      <w:r w:rsidR="005922BD">
        <w:t xml:space="preserve"> since the feature is NTN specific</w:t>
      </w:r>
      <w:r w:rsidRPr="00C249F7">
        <w:t>.</w:t>
      </w:r>
      <w:bookmarkEnd w:id="15"/>
    </w:p>
    <w:p w14:paraId="2F3B67F5" w14:textId="75FAF376" w:rsidR="00BE54CD" w:rsidRDefault="00BE54CD" w:rsidP="00BE54CD">
      <w:pPr>
        <w:pStyle w:val="Proposal"/>
        <w:numPr>
          <w:ilvl w:val="0"/>
          <w:numId w:val="28"/>
        </w:numPr>
      </w:pPr>
      <w:bookmarkStart w:id="16" w:name="_Toc142516082"/>
      <w:r w:rsidRPr="00680673">
        <w:rPr>
          <w:color w:val="7F7F7F" w:themeColor="text1" w:themeTint="80"/>
        </w:rPr>
        <w:t>FFS: whether to merge 2-1</w:t>
      </w:r>
      <w:r>
        <w:rPr>
          <w:color w:val="7F7F7F" w:themeColor="text1" w:themeTint="80"/>
        </w:rPr>
        <w:t>d</w:t>
      </w:r>
      <w:r w:rsidRPr="00680673">
        <w:rPr>
          <w:color w:val="7F7F7F" w:themeColor="text1" w:themeTint="80"/>
        </w:rPr>
        <w:t xml:space="preserve"> and 2-</w:t>
      </w:r>
      <w:r>
        <w:rPr>
          <w:color w:val="7F7F7F" w:themeColor="text1" w:themeTint="80"/>
        </w:rPr>
        <w:t>2</w:t>
      </w:r>
      <w:r w:rsidRPr="00680673">
        <w:rPr>
          <w:color w:val="7F7F7F" w:themeColor="text1" w:themeTint="80"/>
        </w:rPr>
        <w:t xml:space="preserve">: </w:t>
      </w:r>
      <w:r>
        <w:t xml:space="preserve">No merging of 2-1d and 2-2, </w:t>
      </w:r>
      <w:r w:rsidRPr="00680673">
        <w:t>the semi-static</w:t>
      </w:r>
      <w:r>
        <w:t xml:space="preserve"> solution without and</w:t>
      </w:r>
      <w:r w:rsidRPr="00680673">
        <w:t xml:space="preserve"> </w:t>
      </w:r>
      <w:r>
        <w:t>with</w:t>
      </w:r>
      <w:r w:rsidRPr="00680673">
        <w:t xml:space="preserve"> </w:t>
      </w:r>
      <w:r>
        <w:t>SPS</w:t>
      </w:r>
      <w:r w:rsidRPr="00680673">
        <w:t xml:space="preserve"> can remain decoupled as separate FGs</w:t>
      </w:r>
      <w:r>
        <w:t>.</w:t>
      </w:r>
      <w:bookmarkEnd w:id="16"/>
    </w:p>
    <w:p w14:paraId="1A71346C" w14:textId="1F701498" w:rsidR="005248B9" w:rsidRPr="005248B9" w:rsidRDefault="00BE54CD" w:rsidP="005248B9">
      <w:pPr>
        <w:pStyle w:val="Proposal"/>
        <w:numPr>
          <w:ilvl w:val="0"/>
          <w:numId w:val="28"/>
        </w:numPr>
      </w:pPr>
      <w:bookmarkStart w:id="17" w:name="_Toc142516083"/>
      <w:r w:rsidRPr="00680673">
        <w:rPr>
          <w:color w:val="7F7F7F" w:themeColor="text1" w:themeTint="80"/>
        </w:rPr>
        <w:t xml:space="preserve">[Note: RAN1 kindly asks RAN2 to design signalling such that GSO/NGSO differentiation is possible]: </w:t>
      </w:r>
      <w:r>
        <w:t xml:space="preserve">No signalling for GSO/NGSO differentiation seems to be needed.  Allowing or not </w:t>
      </w:r>
      <w:r w:rsidR="00810C6B">
        <w:t>“</w:t>
      </w:r>
      <w:r>
        <w:t>disabling HARQ feedback</w:t>
      </w:r>
      <w:r w:rsidR="00810C6B">
        <w:t>”</w:t>
      </w:r>
      <w:r>
        <w:t xml:space="preserve"> should be do</w:t>
      </w:r>
      <w:r w:rsidR="005D0A0A">
        <w:t>ne</w:t>
      </w:r>
      <w:r>
        <w:t xml:space="preserve"> through the</w:t>
      </w:r>
      <w:r w:rsidR="005D0A0A">
        <w:t xml:space="preserve"> introduced</w:t>
      </w:r>
      <w:r>
        <w:t xml:space="preserve"> Enabling/Disabling switching solutions</w:t>
      </w:r>
      <w:r w:rsidRPr="00590AFA">
        <w:t xml:space="preserve"> rather than through introducing additional signalling </w:t>
      </w:r>
      <w:r w:rsidR="005D0A0A">
        <w:t>for</w:t>
      </w:r>
      <w:r w:rsidRPr="00590AFA">
        <w:t xml:space="preserve"> allowing or not the use of disabling HARQ feedback for a given satellite orbit</w:t>
      </w:r>
      <w:r>
        <w:t>.</w:t>
      </w:r>
      <w:bookmarkEnd w:id="17"/>
    </w:p>
    <w:bookmarkEnd w:id="2"/>
    <w:p w14:paraId="6CC701D0" w14:textId="77777777" w:rsidR="005248B9" w:rsidRPr="009F5A11" w:rsidRDefault="005248B9" w:rsidP="005248B9">
      <w:pPr>
        <w:pStyle w:val="Proposal"/>
        <w:numPr>
          <w:ilvl w:val="0"/>
          <w:numId w:val="0"/>
        </w:numPr>
        <w:ind w:left="1701" w:hanging="1701"/>
      </w:pPr>
    </w:p>
    <w:p w14:paraId="18E33371" w14:textId="3E5510DB" w:rsidR="0067218E" w:rsidRPr="009F5A11" w:rsidRDefault="0067218E" w:rsidP="0067218E">
      <w:pPr>
        <w:pStyle w:val="Heading2"/>
      </w:pPr>
      <w:r w:rsidRPr="009F5A11">
        <w:t>2.2</w:t>
      </w:r>
      <w:r w:rsidRPr="009F5A11">
        <w:tab/>
        <w:t>Disabling of HARQ</w:t>
      </w:r>
      <w:r w:rsidRPr="009F5A11">
        <w:tab/>
        <w:t>feedback for NB-IoT</w:t>
      </w:r>
    </w:p>
    <w:p w14:paraId="1A9E1A2A" w14:textId="77777777" w:rsidR="000B60E1" w:rsidRDefault="0067218E" w:rsidP="0067218E">
      <w:r w:rsidRPr="009F5A11">
        <w:t>Below we discuss the RAN1 UE feature list on “Disabling HARQ feedback for NB-IoT” as endorsed in [</w:t>
      </w:r>
      <w:r w:rsidR="000B60E1">
        <w:t>2</w:t>
      </w:r>
      <w:r w:rsidRPr="009F5A11">
        <w:t>]</w:t>
      </w:r>
      <w:r w:rsidR="000B60E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82"/>
        <w:gridCol w:w="1624"/>
        <w:gridCol w:w="3048"/>
        <w:gridCol w:w="1375"/>
        <w:gridCol w:w="1851"/>
      </w:tblGrid>
      <w:tr w:rsidR="000B60E1" w:rsidRPr="00C03A23" w14:paraId="3C61CFDC"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34A5E98"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71BD67F"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5200818E"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76FFFF"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0847CA8F"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532793C"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0B60E1" w:rsidRPr="00C03A23" w14:paraId="00D01D6D"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09" w14:textId="77777777" w:rsidR="000B60E1" w:rsidRPr="000B60E1" w:rsidRDefault="000B60E1" w:rsidP="002571A2">
            <w:pPr>
              <w:pStyle w:val="TAL"/>
              <w:rPr>
                <w:rFonts w:cs="Arial"/>
                <w:color w:val="000000" w:themeColor="text1"/>
                <w:sz w:val="14"/>
                <w:szCs w:val="16"/>
                <w:lang w:eastAsia="ja-JP"/>
              </w:rPr>
            </w:pPr>
            <w:r w:rsidRPr="000B60E1">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2996"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5DF8"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E450" w14:textId="77777777" w:rsidR="000B60E1" w:rsidRPr="000B60E1" w:rsidRDefault="000B60E1" w:rsidP="002571A2">
            <w:pPr>
              <w:rPr>
                <w:rFonts w:ascii="Arial" w:hAnsi="Arial" w:cs="Arial"/>
                <w:color w:val="000000" w:themeColor="text1"/>
                <w:sz w:val="14"/>
                <w:szCs w:val="16"/>
              </w:rPr>
            </w:pPr>
            <w:r w:rsidRPr="000B60E1">
              <w:rPr>
                <w:rFonts w:ascii="Arial" w:hAnsi="Arial" w:cs="Arial"/>
                <w:color w:val="000000" w:themeColor="text1"/>
                <w:sz w:val="14"/>
                <w:szCs w:val="16"/>
              </w:rPr>
              <w:t>1. UE gets RRC configuration for disabling HARQ feedback per UE per process</w:t>
            </w:r>
            <w:r w:rsidRPr="000B60E1">
              <w:rPr>
                <w:rFonts w:ascii="Arial" w:hAnsi="Arial" w:cs="Arial"/>
                <w:strike/>
                <w:color w:val="000000" w:themeColor="text1"/>
                <w:sz w:val="14"/>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9639"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D549"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rPr>
              <w:t>Yes</w:t>
            </w:r>
          </w:p>
        </w:tc>
      </w:tr>
      <w:tr w:rsidR="000B60E1" w:rsidRPr="00C03A23" w14:paraId="7F251394"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59226" w14:textId="77777777" w:rsidR="000B60E1" w:rsidRPr="000B60E1" w:rsidRDefault="000B60E1" w:rsidP="002571A2">
            <w:pPr>
              <w:pStyle w:val="TAL"/>
              <w:rPr>
                <w:rFonts w:cs="Arial"/>
                <w:color w:val="000000" w:themeColor="text1"/>
                <w:sz w:val="14"/>
                <w:szCs w:val="16"/>
                <w:lang w:eastAsia="ja-JP"/>
              </w:rPr>
            </w:pPr>
            <w:r w:rsidRPr="000B60E1">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9473"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BA26"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50A62" w14:textId="77777777" w:rsidR="000B60E1" w:rsidRPr="000B60E1" w:rsidRDefault="000B60E1" w:rsidP="002571A2">
            <w:pPr>
              <w:rPr>
                <w:rFonts w:ascii="Arial" w:hAnsi="Arial" w:cs="Arial"/>
                <w:color w:val="000000" w:themeColor="text1"/>
                <w:sz w:val="14"/>
                <w:szCs w:val="16"/>
              </w:rPr>
            </w:pPr>
            <w:r w:rsidRPr="000B60E1">
              <w:rPr>
                <w:rFonts w:ascii="Arial" w:hAnsi="Arial" w:cs="Arial"/>
                <w:color w:val="000000" w:themeColor="text1"/>
                <w:sz w:val="14"/>
                <w:szCs w:val="16"/>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55DA"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5699"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rPr>
              <w:t>Yes</w:t>
            </w:r>
          </w:p>
        </w:tc>
      </w:tr>
    </w:tbl>
    <w:p w14:paraId="472918B4" w14:textId="77777777" w:rsidR="000B60E1" w:rsidRDefault="000B60E1" w:rsidP="006721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298"/>
        <w:gridCol w:w="1469"/>
        <w:gridCol w:w="1223"/>
        <w:gridCol w:w="1259"/>
        <w:gridCol w:w="1381"/>
        <w:gridCol w:w="1576"/>
      </w:tblGrid>
      <w:tr w:rsidR="000B60E1" w:rsidRPr="000B60E1" w14:paraId="2E1E603D"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A26F719"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lastRenderedPageBreak/>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3E270D8" w14:textId="77777777" w:rsidR="000B60E1" w:rsidRPr="000B60E1" w:rsidRDefault="000B60E1"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0FE48F" w14:textId="77777777" w:rsidR="000B60E1" w:rsidRPr="000B60E1" w:rsidRDefault="000B60E1"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39C036D7" w14:textId="77777777" w:rsidR="000B60E1" w:rsidRPr="000B60E1" w:rsidRDefault="000B60E1"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04975F"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2FD302"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2BEAFBF"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3868F8D2"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0B60E1" w:rsidRPr="000B60E1" w14:paraId="7525968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ADBFF"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9DC0" w14:textId="77777777" w:rsidR="000B60E1" w:rsidRPr="000B60E1" w:rsidRDefault="000B60E1" w:rsidP="002571A2">
            <w:pPr>
              <w:pStyle w:val="TAL"/>
              <w:rPr>
                <w:rFonts w:cs="Arial"/>
                <w:color w:val="000000" w:themeColor="text1"/>
                <w:sz w:val="14"/>
                <w:szCs w:val="14"/>
                <w:lang w:val="en-US" w:eastAsia="zh-CN"/>
              </w:rPr>
            </w:pPr>
            <w:r w:rsidRPr="000B60E1">
              <w:rPr>
                <w:rFonts w:cs="Arial"/>
                <w:color w:val="000000" w:themeColor="text1"/>
                <w:sz w:val="14"/>
                <w:szCs w:val="14"/>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BFF8" w14:textId="77777777" w:rsidR="000B60E1" w:rsidRPr="000B60E1" w:rsidRDefault="000B60E1" w:rsidP="002571A2">
            <w:pPr>
              <w:pStyle w:val="TAL"/>
              <w:rPr>
                <w:rFonts w:cs="Arial"/>
                <w:color w:val="000000" w:themeColor="text1"/>
                <w:sz w:val="14"/>
                <w:szCs w:val="14"/>
                <w:lang w:eastAsia="zh-CN"/>
              </w:rPr>
            </w:pPr>
            <w:r w:rsidRPr="000B60E1">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5241"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5430"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A7B5" w14:textId="77777777" w:rsidR="000B60E1" w:rsidRPr="000B60E1" w:rsidRDefault="000B60E1" w:rsidP="002571A2">
            <w:pPr>
              <w:pStyle w:val="TAL"/>
              <w:rPr>
                <w:rFonts w:cs="Arial"/>
                <w:color w:val="000000" w:themeColor="text1"/>
                <w:sz w:val="14"/>
                <w:szCs w:val="14"/>
              </w:rPr>
            </w:pPr>
            <w:r w:rsidRPr="000B60E1">
              <w:rPr>
                <w:rFonts w:cs="Arial"/>
                <w:color w:val="000000" w:themeColor="text1"/>
                <w:sz w:val="14"/>
                <w:szCs w:val="14"/>
              </w:rPr>
              <w:t>Note: HARQ disabling with Option 1</w:t>
            </w:r>
          </w:p>
          <w:p w14:paraId="27237E62" w14:textId="77777777" w:rsidR="000B60E1" w:rsidRPr="000B60E1" w:rsidRDefault="000B60E1" w:rsidP="002571A2">
            <w:pPr>
              <w:pStyle w:val="TAL"/>
              <w:rPr>
                <w:rFonts w:cs="Arial"/>
                <w:color w:val="000000" w:themeColor="text1"/>
                <w:sz w:val="14"/>
                <w:szCs w:val="14"/>
              </w:rPr>
            </w:pPr>
          </w:p>
          <w:p w14:paraId="17B42ED9" w14:textId="77777777" w:rsidR="000B60E1" w:rsidRPr="000B60E1" w:rsidRDefault="000B60E1" w:rsidP="002571A2">
            <w:pPr>
              <w:pStyle w:val="TAL"/>
              <w:rPr>
                <w:rFonts w:cs="Arial"/>
                <w:color w:val="000000" w:themeColor="text1"/>
                <w:sz w:val="14"/>
                <w:szCs w:val="14"/>
                <w:highlight w:val="yellow"/>
              </w:rPr>
            </w:pPr>
            <w:r w:rsidRPr="000B60E1">
              <w:rPr>
                <w:rFonts w:cs="Arial"/>
                <w:color w:val="000000" w:themeColor="text1"/>
                <w:sz w:val="14"/>
                <w:szCs w:val="14"/>
              </w:rPr>
              <w:t>Note: this applies to single-TB case</w:t>
            </w:r>
          </w:p>
          <w:p w14:paraId="76760BFA" w14:textId="77777777" w:rsidR="000B60E1" w:rsidRPr="000B60E1" w:rsidRDefault="000B60E1" w:rsidP="002571A2">
            <w:pPr>
              <w:pStyle w:val="TAL"/>
              <w:rPr>
                <w:rFonts w:cs="Arial"/>
                <w:color w:val="000000" w:themeColor="text1"/>
                <w:sz w:val="14"/>
                <w:szCs w:val="14"/>
                <w:highlight w:val="yellow"/>
              </w:rPr>
            </w:pPr>
          </w:p>
          <w:p w14:paraId="29B66B29" w14:textId="77777777" w:rsidR="000B60E1" w:rsidRPr="000B60E1" w:rsidRDefault="000B60E1" w:rsidP="002571A2">
            <w:pPr>
              <w:pStyle w:val="TAL"/>
              <w:rPr>
                <w:rFonts w:cs="Arial"/>
                <w:color w:val="000000" w:themeColor="text1"/>
                <w:sz w:val="14"/>
                <w:szCs w:val="14"/>
                <w:highlight w:val="yellow"/>
              </w:rPr>
            </w:pPr>
            <w:r w:rsidRPr="000B60E1">
              <w:rPr>
                <w:rFonts w:cs="Arial"/>
                <w:color w:val="000000" w:themeColor="text1"/>
                <w:sz w:val="14"/>
                <w:szCs w:val="14"/>
                <w:highlight w:val="yellow"/>
              </w:rPr>
              <w:t>FFS: whether to merge 2-1f and 2-1e</w:t>
            </w:r>
          </w:p>
          <w:p w14:paraId="5639C8C1" w14:textId="77777777" w:rsidR="000B60E1" w:rsidRPr="000B60E1" w:rsidRDefault="000B60E1" w:rsidP="002571A2">
            <w:pPr>
              <w:pStyle w:val="TAL"/>
              <w:rPr>
                <w:rFonts w:cs="Arial"/>
                <w:color w:val="000000" w:themeColor="text1"/>
                <w:sz w:val="14"/>
                <w:szCs w:val="14"/>
                <w:highlight w:val="yellow"/>
              </w:rPr>
            </w:pPr>
          </w:p>
          <w:p w14:paraId="01D76B2F" w14:textId="77777777" w:rsidR="000B60E1" w:rsidRPr="000B60E1" w:rsidRDefault="000B60E1" w:rsidP="002571A2">
            <w:pPr>
              <w:pStyle w:val="TAL"/>
              <w:rPr>
                <w:rFonts w:cs="Arial"/>
                <w:color w:val="000000" w:themeColor="text1"/>
                <w:sz w:val="14"/>
                <w:szCs w:val="14"/>
                <w:highlight w:val="yellow"/>
              </w:rPr>
            </w:pPr>
            <w:r w:rsidRPr="000B60E1">
              <w:rPr>
                <w:rFonts w:cs="Arial"/>
                <w:color w:val="000000" w:themeColor="text1"/>
                <w:sz w:val="14"/>
                <w:szCs w:val="14"/>
                <w:highlight w:val="yellow"/>
              </w:rPr>
              <w:t>FFS: whether to have a separate FG for the combination of FGs 2-1e and 2-1f</w:t>
            </w:r>
          </w:p>
          <w:p w14:paraId="4037A019" w14:textId="77777777" w:rsidR="000B60E1" w:rsidRPr="000B60E1" w:rsidRDefault="000B60E1" w:rsidP="002571A2">
            <w:pPr>
              <w:pStyle w:val="TAL"/>
              <w:rPr>
                <w:rFonts w:cs="Arial"/>
                <w:color w:val="000000" w:themeColor="text1"/>
                <w:sz w:val="14"/>
                <w:szCs w:val="14"/>
                <w:highlight w:val="yellow"/>
              </w:rPr>
            </w:pPr>
          </w:p>
          <w:p w14:paraId="3105B780" w14:textId="77777777" w:rsidR="000B60E1" w:rsidRPr="000B60E1" w:rsidRDefault="000B60E1" w:rsidP="002571A2">
            <w:pPr>
              <w:pStyle w:val="TAL"/>
              <w:rPr>
                <w:rFonts w:cs="Arial"/>
                <w:color w:val="000000" w:themeColor="text1"/>
                <w:sz w:val="14"/>
                <w:szCs w:val="14"/>
              </w:rPr>
            </w:pPr>
            <w:r w:rsidRPr="000B60E1">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D80DE"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Optional with capability signalling</w:t>
            </w:r>
          </w:p>
        </w:tc>
      </w:tr>
      <w:tr w:rsidR="000B60E1" w:rsidRPr="000B60E1" w14:paraId="75A7E23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D40CA"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6D9C" w14:textId="77777777" w:rsidR="000B60E1" w:rsidRPr="000B60E1" w:rsidRDefault="000B60E1" w:rsidP="002571A2">
            <w:pPr>
              <w:pStyle w:val="TAL"/>
              <w:rPr>
                <w:rFonts w:cs="Arial"/>
                <w:color w:val="000000" w:themeColor="text1"/>
                <w:sz w:val="14"/>
                <w:szCs w:val="14"/>
                <w:lang w:val="en-US" w:eastAsia="zh-CN"/>
              </w:rPr>
            </w:pPr>
            <w:r w:rsidRPr="000B60E1">
              <w:rPr>
                <w:rFonts w:cs="Arial"/>
                <w:color w:val="000000" w:themeColor="text1"/>
                <w:sz w:val="14"/>
                <w:szCs w:val="14"/>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C68D" w14:textId="77777777" w:rsidR="000B60E1" w:rsidRPr="000B60E1" w:rsidRDefault="000B60E1" w:rsidP="002571A2">
            <w:pPr>
              <w:pStyle w:val="TAL"/>
              <w:rPr>
                <w:rFonts w:cs="Arial"/>
                <w:color w:val="000000" w:themeColor="text1"/>
                <w:sz w:val="14"/>
                <w:szCs w:val="14"/>
                <w:lang w:eastAsia="zh-CN"/>
              </w:rPr>
            </w:pPr>
            <w:r w:rsidRPr="000B60E1">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D0A2"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C6A4"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8215" w14:textId="77777777" w:rsidR="000B60E1" w:rsidRPr="000B60E1" w:rsidRDefault="000B60E1" w:rsidP="002571A2">
            <w:pPr>
              <w:rPr>
                <w:rFonts w:ascii="Arial" w:hAnsi="Arial" w:cs="Arial"/>
                <w:color w:val="000000" w:themeColor="text1"/>
                <w:sz w:val="14"/>
                <w:szCs w:val="14"/>
              </w:rPr>
            </w:pPr>
            <w:r w:rsidRPr="000B60E1">
              <w:rPr>
                <w:rFonts w:ascii="Arial" w:hAnsi="Arial" w:cs="Arial"/>
                <w:color w:val="000000" w:themeColor="text1"/>
                <w:sz w:val="14"/>
                <w:szCs w:val="14"/>
              </w:rPr>
              <w:t xml:space="preserve">Note: HARQ disabling with Option 3 </w:t>
            </w:r>
          </w:p>
          <w:p w14:paraId="40F126E3" w14:textId="77777777" w:rsidR="000B60E1" w:rsidRPr="000B60E1" w:rsidRDefault="000B60E1" w:rsidP="002571A2">
            <w:pPr>
              <w:rPr>
                <w:rFonts w:ascii="Arial" w:hAnsi="Arial" w:cs="Arial"/>
                <w:color w:val="000000" w:themeColor="text1"/>
                <w:sz w:val="14"/>
                <w:szCs w:val="14"/>
              </w:rPr>
            </w:pPr>
          </w:p>
          <w:p w14:paraId="7E6DA256" w14:textId="77777777" w:rsidR="000B60E1" w:rsidRPr="000B60E1" w:rsidRDefault="000B60E1" w:rsidP="002571A2">
            <w:pPr>
              <w:rPr>
                <w:rFonts w:ascii="Arial" w:hAnsi="Arial" w:cs="Arial"/>
                <w:color w:val="000000" w:themeColor="text1"/>
                <w:sz w:val="14"/>
                <w:szCs w:val="14"/>
              </w:rPr>
            </w:pPr>
            <w:r w:rsidRPr="000B60E1">
              <w:rPr>
                <w:rFonts w:ascii="Arial" w:hAnsi="Arial" w:cs="Arial"/>
                <w:color w:val="000000" w:themeColor="text1"/>
                <w:sz w:val="14"/>
                <w:szCs w:val="14"/>
              </w:rPr>
              <w:t>Note: this applies to single-TB case</w:t>
            </w:r>
          </w:p>
          <w:p w14:paraId="4EF9AF35" w14:textId="77777777" w:rsidR="000B60E1" w:rsidRPr="000B60E1" w:rsidRDefault="000B60E1" w:rsidP="002571A2">
            <w:pPr>
              <w:pStyle w:val="TAL"/>
              <w:rPr>
                <w:rFonts w:cs="Arial"/>
                <w:color w:val="000000" w:themeColor="text1"/>
                <w:sz w:val="14"/>
                <w:szCs w:val="14"/>
                <w:highlight w:val="yellow"/>
              </w:rPr>
            </w:pPr>
          </w:p>
          <w:p w14:paraId="5BC368BB" w14:textId="77777777" w:rsidR="000B60E1" w:rsidRPr="000B60E1" w:rsidRDefault="000B60E1" w:rsidP="002571A2">
            <w:pPr>
              <w:pStyle w:val="TAL"/>
              <w:rPr>
                <w:rFonts w:cs="Arial"/>
                <w:color w:val="000000" w:themeColor="text1"/>
                <w:sz w:val="14"/>
                <w:szCs w:val="14"/>
              </w:rPr>
            </w:pPr>
            <w:r w:rsidRPr="000B60E1">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BE06"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Optional with capability signalling</w:t>
            </w:r>
          </w:p>
        </w:tc>
      </w:tr>
    </w:tbl>
    <w:p w14:paraId="2A5AD841" w14:textId="77777777" w:rsidR="000B60E1" w:rsidRDefault="000B60E1" w:rsidP="0067218E"/>
    <w:p w14:paraId="2FE14FE6" w14:textId="6B133AF4" w:rsidR="000B60E1" w:rsidRDefault="000B60E1" w:rsidP="000B60E1">
      <w:pPr>
        <w:pStyle w:val="Proposal"/>
      </w:pPr>
      <w:bookmarkStart w:id="18" w:name="_Toc142516084"/>
      <w:r w:rsidRPr="009F5A11">
        <w:t xml:space="preserve">For </w:t>
      </w:r>
      <w:r>
        <w:t xml:space="preserve">the comebacks on </w:t>
      </w:r>
      <w:r w:rsidRPr="009F5A11">
        <w:t>FG 2-1</w:t>
      </w:r>
      <w:r>
        <w:t>e</w:t>
      </w:r>
      <w:r w:rsidRPr="009F5A11">
        <w:t xml:space="preserve"> (Semi-static HARQ feedback disabling for </w:t>
      </w:r>
      <w:r>
        <w:t>NB-IoT</w:t>
      </w:r>
      <w:r w:rsidRPr="009F5A11">
        <w:t>) and FG 2-1</w:t>
      </w:r>
      <w:r>
        <w:t>f</w:t>
      </w:r>
      <w:r w:rsidRPr="009F5A11">
        <w:t xml:space="preserve"> (Dynamic HARQ feedback disabling for </w:t>
      </w:r>
      <w:r>
        <w:t>NB-IoT</w:t>
      </w:r>
      <w:r w:rsidRPr="009F5A11">
        <w:t>):</w:t>
      </w:r>
      <w:bookmarkEnd w:id="18"/>
    </w:p>
    <w:p w14:paraId="71C303F1" w14:textId="1D1E0490" w:rsidR="000B60E1" w:rsidRPr="00C249F7" w:rsidRDefault="000B60E1" w:rsidP="000B60E1">
      <w:pPr>
        <w:pStyle w:val="Proposal"/>
        <w:numPr>
          <w:ilvl w:val="0"/>
          <w:numId w:val="28"/>
        </w:numPr>
      </w:pPr>
      <w:bookmarkStart w:id="19" w:name="_Toc142516085"/>
      <w:r w:rsidRPr="00C249F7">
        <w:rPr>
          <w:color w:val="7F7F7F" w:themeColor="text1" w:themeTint="80"/>
        </w:rPr>
        <w:t xml:space="preserve">[Per UE/Per band]: </w:t>
      </w:r>
      <w:r w:rsidR="005922BD">
        <w:t>T</w:t>
      </w:r>
      <w:r w:rsidRPr="00C249F7">
        <w:t>he FGs can be “Per band”</w:t>
      </w:r>
      <w:r w:rsidR="005922BD">
        <w:t xml:space="preserve"> since the feature is NTN specific</w:t>
      </w:r>
      <w:r w:rsidRPr="00C249F7">
        <w:t>.</w:t>
      </w:r>
      <w:bookmarkEnd w:id="19"/>
    </w:p>
    <w:p w14:paraId="617B2923" w14:textId="39AE08DC" w:rsidR="000B60E1" w:rsidRDefault="000B60E1" w:rsidP="000B60E1">
      <w:pPr>
        <w:pStyle w:val="Proposal"/>
        <w:numPr>
          <w:ilvl w:val="0"/>
          <w:numId w:val="28"/>
        </w:numPr>
      </w:pPr>
      <w:bookmarkStart w:id="20" w:name="_Toc142516086"/>
      <w:r w:rsidRPr="00680673">
        <w:rPr>
          <w:color w:val="7F7F7F" w:themeColor="text1" w:themeTint="80"/>
        </w:rPr>
        <w:t>FFS: whether to merge 2-1</w:t>
      </w:r>
      <w:r>
        <w:rPr>
          <w:color w:val="7F7F7F" w:themeColor="text1" w:themeTint="80"/>
        </w:rPr>
        <w:t>f</w:t>
      </w:r>
      <w:r w:rsidRPr="00680673">
        <w:rPr>
          <w:color w:val="7F7F7F" w:themeColor="text1" w:themeTint="80"/>
        </w:rPr>
        <w:t xml:space="preserve"> and 2-1</w:t>
      </w:r>
      <w:r>
        <w:rPr>
          <w:color w:val="7F7F7F" w:themeColor="text1" w:themeTint="80"/>
        </w:rPr>
        <w:t>e</w:t>
      </w:r>
      <w:r w:rsidRPr="00680673">
        <w:rPr>
          <w:color w:val="7F7F7F" w:themeColor="text1" w:themeTint="80"/>
        </w:rPr>
        <w:t xml:space="preserve">: </w:t>
      </w:r>
      <w:r>
        <w:t xml:space="preserve">No merging of 2-1f and 2-1e, </w:t>
      </w:r>
      <w:r w:rsidRPr="00680673">
        <w:t>the semi-static and dynamic solution can remain decoupled as separate FGs</w:t>
      </w:r>
      <w:r>
        <w:t>.</w:t>
      </w:r>
      <w:bookmarkEnd w:id="20"/>
    </w:p>
    <w:p w14:paraId="4CE615D5" w14:textId="73A58863" w:rsidR="000B60E1" w:rsidRDefault="000B60E1" w:rsidP="00284360">
      <w:pPr>
        <w:pStyle w:val="Proposal"/>
        <w:numPr>
          <w:ilvl w:val="0"/>
          <w:numId w:val="28"/>
        </w:numPr>
      </w:pPr>
      <w:bookmarkStart w:id="21" w:name="_Toc142516087"/>
      <w:r w:rsidRPr="00680673">
        <w:rPr>
          <w:color w:val="7F7F7F" w:themeColor="text1" w:themeTint="80"/>
        </w:rPr>
        <w:t>FFS: whether to have a separate FG for the combination of FGs 2-1</w:t>
      </w:r>
      <w:r>
        <w:rPr>
          <w:color w:val="7F7F7F" w:themeColor="text1" w:themeTint="80"/>
        </w:rPr>
        <w:t>e</w:t>
      </w:r>
      <w:r w:rsidRPr="00680673">
        <w:rPr>
          <w:color w:val="7F7F7F" w:themeColor="text1" w:themeTint="80"/>
        </w:rPr>
        <w:t xml:space="preserve"> and 2-1</w:t>
      </w:r>
      <w:r>
        <w:rPr>
          <w:color w:val="7F7F7F" w:themeColor="text1" w:themeTint="80"/>
        </w:rPr>
        <w:t>f</w:t>
      </w:r>
      <w:r w:rsidRPr="00680673">
        <w:rPr>
          <w:color w:val="7F7F7F" w:themeColor="text1" w:themeTint="80"/>
        </w:rPr>
        <w:t xml:space="preserve">: </w:t>
      </w:r>
      <w:r>
        <w:t xml:space="preserve">There is no need to have a separate FG, because </w:t>
      </w:r>
      <w:r w:rsidRPr="00680673">
        <w:t>if FG 2-1</w:t>
      </w:r>
      <w:r>
        <w:t>e</w:t>
      </w:r>
      <w:r w:rsidRPr="00680673">
        <w:t xml:space="preserve"> and FG 2-1</w:t>
      </w:r>
      <w:r>
        <w:t>f</w:t>
      </w:r>
      <w:r w:rsidRPr="00680673">
        <w:t xml:space="preserve"> are both configured, the latter (i.e., FG 2-1</w:t>
      </w:r>
      <w:r>
        <w:t xml:space="preserve">f,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00284360">
        <w:t>acting</w:t>
      </w:r>
      <w:r w:rsidRPr="00680673">
        <w:t xml:space="preserve"> as a </w:t>
      </w:r>
      <w:r w:rsidR="00284360">
        <w:t>DCI solution to</w:t>
      </w:r>
      <w:r w:rsidRPr="00680673">
        <w:t xml:space="preserve"> </w:t>
      </w:r>
      <w:r w:rsidR="00284360">
        <w:t>“O</w:t>
      </w:r>
      <w:r w:rsidRPr="00680673">
        <w:t>verride RRC configuration</w:t>
      </w:r>
      <w:r w:rsidR="00284360">
        <w:t>,</w:t>
      </w:r>
      <w:r w:rsidRPr="00680673">
        <w:t>”</w:t>
      </w:r>
      <w:r w:rsidR="00284360">
        <w:t xml:space="preserve"> otherwise </w:t>
      </w:r>
      <w:r w:rsidR="002B36D4">
        <w:t>(i.e., when only “</w:t>
      </w:r>
      <w:r w:rsidR="002B36D4" w:rsidRPr="00680673">
        <w:t>FG 2-1</w:t>
      </w:r>
      <w:r w:rsidR="002B36D4">
        <w:t xml:space="preserve">f” is configured) </w:t>
      </w:r>
      <w:r w:rsidR="00284360">
        <w:t>it will act as “DCI direct indication”</w:t>
      </w:r>
      <w:r w:rsidRPr="00680673">
        <w:t>.</w:t>
      </w:r>
      <w:bookmarkEnd w:id="21"/>
    </w:p>
    <w:p w14:paraId="31E0585B" w14:textId="77777777" w:rsidR="000B60E1" w:rsidRPr="005248B9" w:rsidRDefault="000B60E1" w:rsidP="000B60E1">
      <w:pPr>
        <w:pStyle w:val="Proposal"/>
        <w:numPr>
          <w:ilvl w:val="0"/>
          <w:numId w:val="28"/>
        </w:numPr>
      </w:pPr>
      <w:bookmarkStart w:id="22" w:name="_Toc142516088"/>
      <w:r w:rsidRPr="00680673">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rather than through introducing additional signalling </w:t>
      </w:r>
      <w:r>
        <w:t>for</w:t>
      </w:r>
      <w:r w:rsidRPr="00590AFA">
        <w:t xml:space="preserve"> allowing or not the use of disabling HARQ feedback for a given satellite orbit</w:t>
      </w:r>
      <w:r>
        <w:t>.</w:t>
      </w:r>
      <w:bookmarkEnd w:id="22"/>
    </w:p>
    <w:p w14:paraId="0FE3024D" w14:textId="403F98E3" w:rsidR="000B60E1" w:rsidRPr="009F5A11" w:rsidRDefault="000B60E1" w:rsidP="0067218E">
      <w:pPr>
        <w:sectPr w:rsidR="000B60E1" w:rsidRPr="009F5A11"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F5A3323" w14:textId="41B88226" w:rsidR="002A3498" w:rsidRDefault="00873091">
      <w:pPr>
        <w:pStyle w:val="Heading2"/>
      </w:pPr>
      <w:r>
        <w:lastRenderedPageBreak/>
        <w:t>2.3</w:t>
      </w:r>
      <w:r>
        <w:tab/>
        <w:t>GNSS</w:t>
      </w:r>
      <w:r w:rsidR="00F71364">
        <w:t xml:space="preserve"> </w:t>
      </w:r>
      <w:r w:rsidR="00C562C3">
        <w:t xml:space="preserve">reacquisition </w:t>
      </w:r>
      <w:r w:rsidR="00F71364">
        <w:t>for LTE-MTC</w:t>
      </w:r>
    </w:p>
    <w:p w14:paraId="1F8AA627" w14:textId="6097277B" w:rsidR="00F71364" w:rsidRDefault="00992B36" w:rsidP="00F71364">
      <w:r>
        <w:t xml:space="preserve">We now </w:t>
      </w:r>
      <w:r w:rsidR="009A5CFC">
        <w:t>share our views on</w:t>
      </w:r>
      <w:r w:rsidR="00F71364" w:rsidRPr="009F5A11">
        <w:t xml:space="preserve"> the </w:t>
      </w:r>
      <w:r w:rsidR="009A5CFC">
        <w:t>following</w:t>
      </w:r>
      <w:r w:rsidR="00F71364" w:rsidRPr="009F5A11">
        <w:t xml:space="preserve"> RAN1 UE feature list </w:t>
      </w:r>
      <w:r w:rsidR="00CD501E">
        <w:t xml:space="preserve">for </w:t>
      </w:r>
      <w:r w:rsidR="009A5CFC">
        <w:t>improved</w:t>
      </w:r>
      <w:r w:rsidR="00CD501E">
        <w:t xml:space="preserve"> GNSS </w:t>
      </w:r>
      <w:r w:rsidR="009A5CFC">
        <w:t>operations for</w:t>
      </w:r>
      <w:r w:rsidR="00CD501E">
        <w:t xml:space="preserve"> LTE-MTC</w:t>
      </w:r>
      <w:r w:rsidR="00F71364" w:rsidRPr="009F5A11">
        <w:t xml:space="preserve"> as endorsed in [</w:t>
      </w:r>
      <w:r w:rsidR="00F71364">
        <w:t>2</w:t>
      </w:r>
      <w:r w:rsidR="00F71364" w:rsidRPr="009F5A11">
        <w:t>]</w:t>
      </w:r>
      <w:r w:rsidR="00F713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582"/>
        <w:gridCol w:w="2019"/>
        <w:gridCol w:w="3637"/>
        <w:gridCol w:w="1334"/>
        <w:gridCol w:w="1742"/>
      </w:tblGrid>
      <w:tr w:rsidR="00F71364" w:rsidRPr="00C03A23" w14:paraId="377EF617"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2514E795"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2E05088F"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12263017"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FA989"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9E7DC0A"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F13B5B"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56054F" w:rsidRPr="00C03A23" w14:paraId="368E1EF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396B7" w14:textId="40FD5762" w:rsidR="0056054F" w:rsidRPr="00AA0FEE" w:rsidRDefault="0056054F" w:rsidP="0056054F">
            <w:pPr>
              <w:pStyle w:val="TAL"/>
              <w:rPr>
                <w:rFonts w:cs="Arial"/>
                <w:color w:val="000000" w:themeColor="text1"/>
                <w:sz w:val="14"/>
                <w:szCs w:val="14"/>
                <w:lang w:eastAsia="ja-JP"/>
              </w:rPr>
            </w:pPr>
            <w:r w:rsidRPr="00AA0FEE">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B376" w14:textId="01A78B1A"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8C8E" w14:textId="177D06BC"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B2F4" w14:textId="77777777"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 xml:space="preserve">1. UE reports GNSS position fix time duration for measurement </w:t>
            </w:r>
            <w:r w:rsidRPr="00AA0FEE">
              <w:rPr>
                <w:rFonts w:cs="Arial"/>
                <w:color w:val="000000" w:themeColor="text1"/>
                <w:sz w:val="14"/>
                <w:szCs w:val="14"/>
                <w:lang w:val="en-US" w:eastAsia="zh-CN"/>
              </w:rPr>
              <w:t>and validation duration</w:t>
            </w:r>
            <w:r w:rsidRPr="00AA0FEE">
              <w:rPr>
                <w:rFonts w:cs="Arial"/>
                <w:color w:val="000000" w:themeColor="text1"/>
                <w:sz w:val="14"/>
                <w:szCs w:val="14"/>
              </w:rPr>
              <w:t xml:space="preserve"> at least </w:t>
            </w:r>
            <w:r w:rsidRPr="00AA0FEE">
              <w:rPr>
                <w:rFonts w:cs="Arial"/>
                <w:color w:val="000000" w:themeColor="text1"/>
                <w:sz w:val="14"/>
                <w:szCs w:val="14"/>
                <w:highlight w:val="yellow"/>
              </w:rPr>
              <w:t>[during the initial access stage and in connected mode]</w:t>
            </w:r>
          </w:p>
          <w:p w14:paraId="19B80AC7" w14:textId="77777777"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lang w:eastAsia="zh-CN"/>
              </w:rPr>
              <w:t xml:space="preserve">2. UE receives eNB GNSS measurement trigger </w:t>
            </w:r>
          </w:p>
          <w:p w14:paraId="44824511" w14:textId="77777777"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lang w:eastAsia="zh-CN"/>
              </w:rPr>
              <w:t xml:space="preserve">3. UE </w:t>
            </w:r>
            <w:r w:rsidRPr="00AA0FEE">
              <w:rPr>
                <w:rFonts w:cs="Arial"/>
                <w:color w:val="000000" w:themeColor="text1"/>
                <w:sz w:val="14"/>
                <w:szCs w:val="14"/>
              </w:rPr>
              <w:t>re-acquires GNSS in RRC Connected state</w:t>
            </w:r>
          </w:p>
          <w:p w14:paraId="085B29DC" w14:textId="54A06FAC" w:rsidR="0056054F" w:rsidRPr="00AA0FEE" w:rsidRDefault="0056054F" w:rsidP="0056054F">
            <w:pPr>
              <w:rPr>
                <w:rFonts w:ascii="Arial" w:hAnsi="Arial" w:cs="Arial"/>
                <w:color w:val="000000" w:themeColor="text1"/>
                <w:sz w:val="14"/>
                <w:szCs w:val="14"/>
              </w:rPr>
            </w:pPr>
            <w:r w:rsidRPr="00AA0FEE">
              <w:rPr>
                <w:rFonts w:ascii="Arial" w:hAnsi="Arial" w:cs="Arial"/>
                <w:color w:val="000000" w:themeColor="text1"/>
                <w:sz w:val="14"/>
                <w:szCs w:val="14"/>
                <w:lang w:eastAsia="zh-CN"/>
              </w:rPr>
              <w:t>4. UE re-acquires GNSS position fix within a configured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A395" w14:textId="68B769BA"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499F" w14:textId="0025A2CE"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Yes</w:t>
            </w:r>
          </w:p>
        </w:tc>
      </w:tr>
      <w:tr w:rsidR="0056054F" w:rsidRPr="00C03A23" w14:paraId="5A2CE02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6F181" w14:textId="37545880" w:rsidR="0056054F" w:rsidRPr="00AA0FEE" w:rsidRDefault="0056054F" w:rsidP="0056054F">
            <w:pPr>
              <w:pStyle w:val="TAL"/>
              <w:rPr>
                <w:rFonts w:cs="Arial"/>
                <w:color w:val="000000" w:themeColor="text1"/>
                <w:sz w:val="14"/>
                <w:szCs w:val="14"/>
                <w:lang w:eastAsia="ja-JP"/>
              </w:rPr>
            </w:pPr>
            <w:r w:rsidRPr="00AA0FEE">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9A70" w14:textId="165CECED"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737D" w14:textId="6160FBCE"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2C29" w14:textId="77777777" w:rsidR="0056054F" w:rsidRPr="00AA0FEE" w:rsidRDefault="0056054F" w:rsidP="0056054F">
            <w:pPr>
              <w:rPr>
                <w:rFonts w:ascii="Arial" w:hAnsi="Arial" w:cs="Arial"/>
                <w:color w:val="000000" w:themeColor="text1"/>
                <w:sz w:val="14"/>
                <w:szCs w:val="14"/>
                <w:lang w:eastAsia="zh-CN"/>
              </w:rPr>
            </w:pPr>
            <w:r w:rsidRPr="00AA0FEE">
              <w:rPr>
                <w:rFonts w:ascii="Arial" w:hAnsi="Arial" w:cs="Arial"/>
                <w:color w:val="000000" w:themeColor="text1"/>
                <w:sz w:val="14"/>
                <w:szCs w:val="14"/>
                <w:highlight w:val="yellow"/>
                <w:lang w:eastAsia="zh-CN"/>
              </w:rPr>
              <w:t>[1. UE re-acquires GNSS autonomously (when configured by the network) if it does not receive eNB GNSS measurement trigger]</w:t>
            </w:r>
          </w:p>
          <w:p w14:paraId="286B29C0" w14:textId="710011E2" w:rsidR="0056054F" w:rsidRPr="00AA0FEE" w:rsidRDefault="0056054F" w:rsidP="0056054F">
            <w:pPr>
              <w:rPr>
                <w:rFonts w:ascii="Arial" w:hAnsi="Arial" w:cs="Arial"/>
                <w:color w:val="000000" w:themeColor="text1"/>
                <w:sz w:val="14"/>
                <w:szCs w:val="14"/>
              </w:rPr>
            </w:pPr>
            <w:r w:rsidRPr="00AA0FEE">
              <w:rPr>
                <w:rFonts w:ascii="Arial" w:hAnsi="Arial" w:cs="Arial"/>
                <w:color w:val="000000" w:themeColor="text1"/>
                <w:sz w:val="14"/>
                <w:szCs w:val="14"/>
              </w:rPr>
              <w:t xml:space="preserve">2. UE reports GNSS position fix time duration for measurement at least during the initial access stage </w:t>
            </w:r>
            <w:r w:rsidRPr="00AA0FEE">
              <w:rPr>
                <w:rFonts w:ascii="Arial" w:hAnsi="Arial" w:cs="Arial"/>
                <w:color w:val="000000" w:themeColor="text1"/>
                <w:sz w:val="14"/>
                <w:szCs w:val="14"/>
                <w:highlight w:val="yellow"/>
              </w:rPr>
              <w:t>[and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6C17" w14:textId="642F06C5"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highlight w:val="yellow"/>
              </w:rPr>
              <w:t xml:space="preserve">[Rel. 18 </w:t>
            </w:r>
            <w:r w:rsidRPr="00AA0FEE">
              <w:rPr>
                <w:rFonts w:cs="Arial"/>
                <w:color w:val="000000" w:themeColor="text1"/>
                <w:sz w:val="14"/>
                <w:szCs w:val="14"/>
                <w:highlight w:val="yellow"/>
                <w:lang w:eastAsia="zh-CN"/>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70D2" w14:textId="231C0518"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Yes</w:t>
            </w:r>
          </w:p>
        </w:tc>
      </w:tr>
    </w:tbl>
    <w:p w14:paraId="06A15840" w14:textId="77777777" w:rsidR="00F71364" w:rsidRDefault="00F71364" w:rsidP="00F713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520"/>
        <w:gridCol w:w="1665"/>
        <w:gridCol w:w="1250"/>
        <w:gridCol w:w="1311"/>
        <w:gridCol w:w="1501"/>
        <w:gridCol w:w="1593"/>
      </w:tblGrid>
      <w:tr w:rsidR="00F71364" w:rsidRPr="000B60E1" w14:paraId="09EEBDB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6C33550"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E12264"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F13890"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1D13A4D0"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A67165"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58DB27"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4DC2821"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4CFC6656"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14769C" w:rsidRPr="000B60E1" w14:paraId="7D3532CE"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20D53" w14:textId="77777777" w:rsidR="0014769C" w:rsidRPr="000B60E1" w:rsidRDefault="0014769C" w:rsidP="0014769C">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E0D3" w14:textId="5B0A742C" w:rsidR="0014769C" w:rsidRPr="0014769C" w:rsidRDefault="0014769C" w:rsidP="0014769C">
            <w:pPr>
              <w:pStyle w:val="TAL"/>
              <w:rPr>
                <w:rFonts w:cs="Arial"/>
                <w:color w:val="000000" w:themeColor="text1"/>
                <w:sz w:val="14"/>
                <w:szCs w:val="14"/>
                <w:lang w:val="en-US" w:eastAsia="zh-CN"/>
              </w:rPr>
            </w:pPr>
            <w:r w:rsidRPr="0014769C">
              <w:rPr>
                <w:rFonts w:cs="Arial"/>
                <w:color w:val="000000" w:themeColor="text1"/>
                <w:sz w:val="14"/>
                <w:szCs w:val="14"/>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D6EB" w14:textId="130F4F00" w:rsidR="0014769C" w:rsidRPr="0014769C" w:rsidRDefault="0014769C" w:rsidP="0014769C">
            <w:pPr>
              <w:pStyle w:val="TAL"/>
              <w:rPr>
                <w:rFonts w:cs="Arial"/>
                <w:color w:val="000000" w:themeColor="text1"/>
                <w:sz w:val="14"/>
                <w:szCs w:val="14"/>
                <w:lang w:eastAsia="zh-CN"/>
              </w:rPr>
            </w:pPr>
            <w:r w:rsidRPr="0014769C">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CE2A" w14:textId="06F6A460"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DE19" w14:textId="63D351A9"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BD54" w14:textId="77777777" w:rsidR="0014769C" w:rsidRPr="0014769C" w:rsidRDefault="0014769C" w:rsidP="0014769C">
            <w:pPr>
              <w:rPr>
                <w:rFonts w:ascii="Arial" w:hAnsi="Arial" w:cs="Arial"/>
                <w:color w:val="000000" w:themeColor="text1"/>
                <w:sz w:val="14"/>
                <w:szCs w:val="14"/>
              </w:rPr>
            </w:pPr>
            <w:r w:rsidRPr="0014769C">
              <w:rPr>
                <w:rFonts w:ascii="Arial" w:hAnsi="Arial" w:cs="Arial"/>
                <w:color w:val="000000" w:themeColor="text1"/>
                <w:sz w:val="14"/>
                <w:szCs w:val="14"/>
                <w:highlight w:val="yellow"/>
              </w:rPr>
              <w:t>[Note: RAN1 kindly asks RAN2 to design signalling such that GSO/NGSO differentiation is possible]</w:t>
            </w:r>
          </w:p>
          <w:p w14:paraId="582D2E7C" w14:textId="77777777" w:rsidR="0014769C" w:rsidRPr="0014769C" w:rsidRDefault="0014769C" w:rsidP="0014769C">
            <w:pPr>
              <w:rPr>
                <w:rFonts w:ascii="Arial" w:hAnsi="Arial" w:cs="Arial"/>
                <w:color w:val="000000" w:themeColor="text1"/>
                <w:sz w:val="14"/>
                <w:szCs w:val="14"/>
              </w:rPr>
            </w:pPr>
          </w:p>
          <w:p w14:paraId="1B5EC2DD" w14:textId="585D2556"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6B75" w14:textId="05359574"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Optional with capability signalling</w:t>
            </w:r>
          </w:p>
        </w:tc>
      </w:tr>
      <w:tr w:rsidR="0014769C" w:rsidRPr="000B60E1" w14:paraId="755D13A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AF7BA" w14:textId="77777777" w:rsidR="0014769C" w:rsidRPr="000B60E1" w:rsidRDefault="0014769C" w:rsidP="0014769C">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942D" w14:textId="3BDBCD3D" w:rsidR="0014769C" w:rsidRPr="0014769C" w:rsidRDefault="0014769C" w:rsidP="0014769C">
            <w:pPr>
              <w:pStyle w:val="TAL"/>
              <w:rPr>
                <w:rFonts w:cs="Arial"/>
                <w:color w:val="000000" w:themeColor="text1"/>
                <w:sz w:val="14"/>
                <w:szCs w:val="14"/>
                <w:lang w:val="en-US" w:eastAsia="zh-CN"/>
              </w:rPr>
            </w:pPr>
            <w:r w:rsidRPr="0014769C">
              <w:rPr>
                <w:rFonts w:cs="Arial"/>
                <w:color w:val="000000" w:themeColor="text1"/>
                <w:sz w:val="14"/>
                <w:szCs w:val="14"/>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7B0E" w14:textId="6B527335" w:rsidR="0014769C" w:rsidRPr="0014769C" w:rsidRDefault="0014769C" w:rsidP="0014769C">
            <w:pPr>
              <w:pStyle w:val="TAL"/>
              <w:rPr>
                <w:rFonts w:cs="Arial"/>
                <w:color w:val="000000" w:themeColor="text1"/>
                <w:sz w:val="14"/>
                <w:szCs w:val="14"/>
                <w:lang w:eastAsia="zh-CN"/>
              </w:rPr>
            </w:pPr>
            <w:r w:rsidRPr="0014769C">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B9D3" w14:textId="7D23323F"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C984" w14:textId="5283A7ED"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5079" w14:textId="77777777"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rPr>
              <w:t>Note: This applies to non-DRX</w:t>
            </w:r>
          </w:p>
          <w:p w14:paraId="1115FEFD" w14:textId="77777777" w:rsidR="0014769C" w:rsidRPr="0014769C" w:rsidRDefault="0014769C" w:rsidP="0014769C">
            <w:pPr>
              <w:pStyle w:val="TAL"/>
              <w:rPr>
                <w:rFonts w:cs="Arial"/>
                <w:color w:val="000000" w:themeColor="text1"/>
                <w:sz w:val="14"/>
                <w:szCs w:val="14"/>
              </w:rPr>
            </w:pPr>
          </w:p>
          <w:p w14:paraId="13E3D8E6" w14:textId="77777777" w:rsidR="0014769C" w:rsidRPr="0014769C" w:rsidRDefault="0014769C" w:rsidP="0014769C">
            <w:pPr>
              <w:pStyle w:val="TAL"/>
              <w:rPr>
                <w:rFonts w:cs="Arial"/>
                <w:color w:val="000000" w:themeColor="text1"/>
                <w:sz w:val="14"/>
                <w:szCs w:val="14"/>
                <w:highlight w:val="yellow"/>
              </w:rPr>
            </w:pPr>
            <w:r w:rsidRPr="0014769C">
              <w:rPr>
                <w:rFonts w:cs="Arial"/>
                <w:color w:val="000000" w:themeColor="text1"/>
                <w:sz w:val="14"/>
                <w:szCs w:val="14"/>
                <w:highlight w:val="yellow"/>
              </w:rPr>
              <w:t>FFS: merge 2-4a with 2-3a</w:t>
            </w:r>
          </w:p>
          <w:p w14:paraId="2704B0BF" w14:textId="77777777" w:rsidR="0014769C" w:rsidRPr="0014769C" w:rsidRDefault="0014769C" w:rsidP="0014769C">
            <w:pPr>
              <w:pStyle w:val="TAL"/>
              <w:rPr>
                <w:rFonts w:cs="Arial"/>
                <w:color w:val="000000" w:themeColor="text1"/>
                <w:sz w:val="14"/>
                <w:szCs w:val="14"/>
                <w:highlight w:val="yellow"/>
              </w:rPr>
            </w:pPr>
          </w:p>
          <w:p w14:paraId="7D31236B" w14:textId="79FD43E9"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CD69" w14:textId="53C7FFDD"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Optional with capability signalling</w:t>
            </w:r>
          </w:p>
        </w:tc>
      </w:tr>
    </w:tbl>
    <w:p w14:paraId="0EC6E334" w14:textId="77777777" w:rsidR="00F71364" w:rsidRDefault="00F71364" w:rsidP="00F71364"/>
    <w:p w14:paraId="4B594137" w14:textId="319AB8DB" w:rsidR="00B55B6C" w:rsidRPr="009F5A11" w:rsidRDefault="00B55B6C" w:rsidP="00B55B6C">
      <w:pPr>
        <w:jc w:val="both"/>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sidR="00427CB1">
        <w:rPr>
          <w:lang w:eastAsia="zh-CN"/>
        </w:rPr>
        <w:t>several</w:t>
      </w:r>
      <w:r w:rsidRPr="009F5A11">
        <w:rPr>
          <w:lang w:eastAsia="zh-CN"/>
        </w:rPr>
        <w:t xml:space="preserve"> comebacks:</w:t>
      </w:r>
    </w:p>
    <w:p w14:paraId="3A27C2FB" w14:textId="77777777" w:rsidR="00B55B6C" w:rsidRDefault="00B55B6C" w:rsidP="00B55B6C">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[Per UE/Per band]</w:t>
      </w:r>
    </w:p>
    <w:p w14:paraId="20E55AB0" w14:textId="77777777" w:rsidR="000673EA" w:rsidRPr="00B010D2" w:rsidRDefault="000673EA" w:rsidP="000673EA">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 18 2-3a</w:t>
      </w:r>
      <w:r>
        <w:rPr>
          <w:rFonts w:ascii="Times New Roman" w:eastAsia="SimSun" w:hAnsi="Times New Roman"/>
          <w:sz w:val="20"/>
          <w:szCs w:val="20"/>
          <w:lang w:val="en-GB" w:eastAsia="zh-CN"/>
        </w:rPr>
        <w:t xml:space="preserve"> a pre-requisite for 2-4a?</w:t>
      </w:r>
    </w:p>
    <w:p w14:paraId="226FF585" w14:textId="7E4DFC59" w:rsidR="00B55B6C" w:rsidRDefault="00B55B6C" w:rsidP="00B55B6C">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FFS: whether to merge 2-</w:t>
      </w:r>
      <w:r w:rsidR="000F5D78">
        <w:rPr>
          <w:rFonts w:ascii="Times New Roman" w:eastAsia="SimSun" w:hAnsi="Times New Roman"/>
          <w:sz w:val="20"/>
          <w:szCs w:val="20"/>
          <w:lang w:val="en-GB" w:eastAsia="zh-CN"/>
        </w:rPr>
        <w:t>3</w:t>
      </w:r>
      <w:r w:rsidRPr="00B010D2">
        <w:rPr>
          <w:rFonts w:ascii="Times New Roman" w:eastAsia="SimSun" w:hAnsi="Times New Roman"/>
          <w:sz w:val="20"/>
          <w:szCs w:val="20"/>
          <w:lang w:val="en-GB" w:eastAsia="zh-CN"/>
        </w:rPr>
        <w:t>a and 2-</w:t>
      </w:r>
      <w:r w:rsidR="000F5D78">
        <w:rPr>
          <w:rFonts w:ascii="Times New Roman" w:eastAsia="SimSun" w:hAnsi="Times New Roman"/>
          <w:sz w:val="20"/>
          <w:szCs w:val="20"/>
          <w:lang w:val="en-GB" w:eastAsia="zh-CN"/>
        </w:rPr>
        <w:t>4a</w:t>
      </w:r>
    </w:p>
    <w:p w14:paraId="4EA50A06" w14:textId="77777777" w:rsidR="00B55B6C" w:rsidRDefault="00B55B6C" w:rsidP="00B55B6C">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7C59D2BD" w14:textId="346F881F" w:rsidR="00960419" w:rsidRDefault="00427CB1" w:rsidP="00631380">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Components</w:t>
      </w:r>
    </w:p>
    <w:p w14:paraId="6F5E562E" w14:textId="77777777" w:rsidR="005220FA" w:rsidRDefault="005220FA" w:rsidP="00631380">
      <w:pPr>
        <w:jc w:val="both"/>
        <w:rPr>
          <w:lang w:eastAsia="zh-CN"/>
        </w:rPr>
      </w:pPr>
    </w:p>
    <w:p w14:paraId="0D9B5571" w14:textId="5754E83D" w:rsidR="00631380" w:rsidRDefault="005220FA" w:rsidP="00631380">
      <w:pPr>
        <w:jc w:val="both"/>
        <w:rPr>
          <w:lang w:eastAsia="zh-CN"/>
        </w:rPr>
      </w:pPr>
      <w:r>
        <w:rPr>
          <w:lang w:eastAsia="zh-CN"/>
        </w:rPr>
        <w:t>We put forth the following proposal.</w:t>
      </w:r>
    </w:p>
    <w:p w14:paraId="4D4759EB" w14:textId="32C22402" w:rsidR="00C44C36" w:rsidRDefault="00C44C36" w:rsidP="00C44C36">
      <w:pPr>
        <w:pStyle w:val="Proposal"/>
      </w:pPr>
      <w:bookmarkStart w:id="23" w:name="_Toc142516089"/>
      <w:r w:rsidRPr="009F5A11">
        <w:t xml:space="preserve">For </w:t>
      </w:r>
      <w:r>
        <w:t xml:space="preserve">the comebacks on </w:t>
      </w:r>
      <w:r w:rsidRPr="009F5A11">
        <w:t>FG 2-</w:t>
      </w:r>
      <w:r>
        <w:t>3a</w:t>
      </w:r>
      <w:r w:rsidRPr="009F5A11">
        <w:t xml:space="preserve"> and FG 2-</w:t>
      </w:r>
      <w:r>
        <w:t>4a</w:t>
      </w:r>
      <w:r w:rsidRPr="009F5A11">
        <w:t>:</w:t>
      </w:r>
      <w:bookmarkEnd w:id="23"/>
    </w:p>
    <w:p w14:paraId="4551769F" w14:textId="77777777" w:rsidR="00C44C36" w:rsidRPr="00455F6F" w:rsidRDefault="00C44C36" w:rsidP="00C44C36">
      <w:pPr>
        <w:pStyle w:val="Proposal"/>
        <w:numPr>
          <w:ilvl w:val="0"/>
          <w:numId w:val="28"/>
        </w:numPr>
        <w:rPr>
          <w:rFonts w:ascii="Calibri" w:hAnsi="Calibri" w:cs="Arial"/>
          <w:sz w:val="22"/>
          <w:szCs w:val="22"/>
          <w:lang w:val="x-none"/>
        </w:rPr>
      </w:pPr>
      <w:bookmarkStart w:id="24" w:name="_Toc142516090"/>
      <w:r w:rsidRPr="00455F6F">
        <w:rPr>
          <w:color w:val="7F7F7F" w:themeColor="text1" w:themeTint="80"/>
        </w:rPr>
        <w:t xml:space="preserve">[Per UE/Per band]: </w:t>
      </w:r>
      <w:r>
        <w:t>Th</w:t>
      </w:r>
      <w:r w:rsidRPr="00C249F7">
        <w:t xml:space="preserve">e FGs can be “Per </w:t>
      </w:r>
      <w:r>
        <w:t>UE</w:t>
      </w:r>
      <w:r w:rsidRPr="00C249F7">
        <w:t>”</w:t>
      </w:r>
      <w:r>
        <w:t xml:space="preserve"> unless there is a strong justification to support differentiation at the “Per band” level</w:t>
      </w:r>
      <w:r w:rsidRPr="00C249F7">
        <w:t>.</w:t>
      </w:r>
      <w:bookmarkEnd w:id="24"/>
    </w:p>
    <w:p w14:paraId="61407AF7" w14:textId="1C9A3E47" w:rsidR="00C44C36" w:rsidRPr="00455F6F" w:rsidRDefault="00C44C36" w:rsidP="00C44C36">
      <w:pPr>
        <w:pStyle w:val="Proposal"/>
        <w:numPr>
          <w:ilvl w:val="0"/>
          <w:numId w:val="28"/>
        </w:numPr>
        <w:rPr>
          <w:rFonts w:ascii="Calibri" w:hAnsi="Calibri" w:cs="Arial"/>
          <w:sz w:val="22"/>
          <w:szCs w:val="22"/>
          <w:lang w:val="x-none"/>
        </w:rPr>
      </w:pPr>
      <w:bookmarkStart w:id="25" w:name="_Toc142516091"/>
      <w:r w:rsidRPr="00455F6F">
        <w:rPr>
          <w:color w:val="7F7F7F" w:themeColor="text1" w:themeTint="80"/>
        </w:rPr>
        <w:t>[</w:t>
      </w:r>
      <w:r>
        <w:rPr>
          <w:color w:val="7F7F7F" w:themeColor="text1" w:themeTint="80"/>
        </w:rPr>
        <w:t>Rel-18 2-3a pre-requisite for 2-4a?</w:t>
      </w:r>
      <w:r w:rsidRPr="00455F6F">
        <w:rPr>
          <w:color w:val="7F7F7F" w:themeColor="text1" w:themeTint="80"/>
        </w:rPr>
        <w:t xml:space="preserve">]: </w:t>
      </w:r>
      <w:r>
        <w:t>Yes, because both features are the same except for the triggering mechanism which is configured by the network</w:t>
      </w:r>
      <w:r w:rsidRPr="00C249F7">
        <w:t>.</w:t>
      </w:r>
      <w:bookmarkEnd w:id="25"/>
    </w:p>
    <w:p w14:paraId="01BA4155" w14:textId="0DFD973A" w:rsidR="00C44C36" w:rsidRPr="00455F6F" w:rsidRDefault="00C44C36" w:rsidP="00C44C36">
      <w:pPr>
        <w:pStyle w:val="Proposal"/>
        <w:numPr>
          <w:ilvl w:val="0"/>
          <w:numId w:val="28"/>
        </w:numPr>
        <w:rPr>
          <w:rFonts w:ascii="Calibri" w:hAnsi="Calibri" w:cs="Arial"/>
          <w:sz w:val="22"/>
          <w:szCs w:val="22"/>
          <w:lang w:val="x-none"/>
        </w:rPr>
      </w:pPr>
      <w:bookmarkStart w:id="26" w:name="_Toc142516092"/>
      <w:r w:rsidRPr="00455F6F">
        <w:rPr>
          <w:rFonts w:cs="Arial"/>
          <w:color w:val="7F7F7F" w:themeColor="text1" w:themeTint="80"/>
        </w:rPr>
        <w:t>FFS: merge 2-3</w:t>
      </w:r>
      <w:r>
        <w:rPr>
          <w:rFonts w:cs="Arial"/>
          <w:color w:val="7F7F7F" w:themeColor="text1" w:themeTint="80"/>
        </w:rPr>
        <w:t>a</w:t>
      </w:r>
      <w:r w:rsidRPr="00455F6F">
        <w:rPr>
          <w:rFonts w:cs="Arial"/>
          <w:color w:val="7F7F7F" w:themeColor="text1" w:themeTint="80"/>
        </w:rPr>
        <w:t xml:space="preserve"> and 2-4</w:t>
      </w:r>
      <w:r>
        <w:rPr>
          <w:rFonts w:cs="Arial"/>
          <w:color w:val="7F7F7F" w:themeColor="text1" w:themeTint="80"/>
        </w:rPr>
        <w:t>a</w:t>
      </w:r>
      <w:r w:rsidRPr="00455F6F">
        <w:rPr>
          <w:rFonts w:cs="Arial"/>
          <w:color w:val="7F7F7F" w:themeColor="text1" w:themeTint="80"/>
        </w:rPr>
        <w:t xml:space="preserve">: </w:t>
      </w:r>
      <w:r w:rsidRPr="00455F6F">
        <w:rPr>
          <w:rFonts w:cs="Arial"/>
        </w:rPr>
        <w:t>Yes, they can be merged because both features are the same except for the triggering mechanism.</w:t>
      </w:r>
      <w:bookmarkEnd w:id="26"/>
    </w:p>
    <w:p w14:paraId="6169070F" w14:textId="77777777" w:rsidR="00C44C36" w:rsidRPr="00FE375F" w:rsidRDefault="00C44C36" w:rsidP="00C44C36">
      <w:pPr>
        <w:pStyle w:val="Proposal"/>
        <w:numPr>
          <w:ilvl w:val="0"/>
          <w:numId w:val="28"/>
        </w:numPr>
        <w:rPr>
          <w:rFonts w:cs="Arial"/>
          <w:b w:val="0"/>
          <w:bCs w:val="0"/>
        </w:rPr>
      </w:pPr>
      <w:bookmarkStart w:id="27" w:name="_Toc142516093"/>
      <w:r w:rsidRPr="00190145">
        <w:rPr>
          <w:rFonts w:cs="Arial"/>
          <w:color w:val="7F7F7F" w:themeColor="text1" w:themeTint="80"/>
        </w:rPr>
        <w:lastRenderedPageBreak/>
        <w:t xml:space="preserve">[Note: RAN1 kindly asks RAN2 to design signalling such that GSO/NGSO differentiation is possible]: </w:t>
      </w:r>
      <w:r w:rsidRPr="00190145">
        <w:rPr>
          <w:rFonts w:cs="Arial"/>
        </w:rPr>
        <w:t>There is no need to support GSO/NGSO differentiation as GNSS</w:t>
      </w:r>
      <w:r w:rsidRPr="00190145">
        <w:rPr>
          <w:rFonts w:cs="Arial"/>
          <w:lang w:val="en-US"/>
        </w:rPr>
        <w:t xml:space="preserve"> </w:t>
      </w:r>
      <w:r w:rsidRPr="00190145">
        <w:rPr>
          <w:rFonts w:cs="Arial"/>
        </w:rPr>
        <w:t>reacquisition is applicable to all UEs regardless of constellation type.</w:t>
      </w:r>
      <w:bookmarkEnd w:id="27"/>
      <w:r w:rsidRPr="00FE375F">
        <w:rPr>
          <w:rFonts w:cs="Arial"/>
          <w:color w:val="7F7F7F" w:themeColor="text1" w:themeTint="80"/>
        </w:rPr>
        <w:t xml:space="preserve"> </w:t>
      </w:r>
    </w:p>
    <w:p w14:paraId="1540B899" w14:textId="6A061118" w:rsidR="00C44C36" w:rsidRPr="00201106" w:rsidRDefault="00C44C36" w:rsidP="00C44C36">
      <w:pPr>
        <w:pStyle w:val="Proposal"/>
        <w:numPr>
          <w:ilvl w:val="0"/>
          <w:numId w:val="28"/>
        </w:numPr>
      </w:pPr>
      <w:bookmarkStart w:id="28" w:name="_Toc142516094"/>
      <w:r w:rsidRPr="00B20C2F">
        <w:rPr>
          <w:rFonts w:cs="Arial"/>
          <w:color w:val="7F7F7F" w:themeColor="text1" w:themeTint="80"/>
        </w:rPr>
        <w:t xml:space="preserve">[Components]: </w:t>
      </w:r>
      <w:r w:rsidRPr="00B20C2F">
        <w:rPr>
          <w:rFonts w:cs="Arial"/>
        </w:rPr>
        <w:t>After merging 2-3</w:t>
      </w:r>
      <w:r w:rsidR="005842FF">
        <w:rPr>
          <w:rFonts w:cs="Arial"/>
        </w:rPr>
        <w:t>a</w:t>
      </w:r>
      <w:r w:rsidRPr="00B20C2F">
        <w:rPr>
          <w:rFonts w:cs="Arial"/>
        </w:rPr>
        <w:t xml:space="preserve"> and 2-4</w:t>
      </w:r>
      <w:r w:rsidR="005842FF">
        <w:rPr>
          <w:rFonts w:cs="Arial"/>
        </w:rPr>
        <w:t>a</w:t>
      </w:r>
      <w:r w:rsidRPr="00B20C2F">
        <w:rPr>
          <w:rFonts w:cs="Arial"/>
        </w:rPr>
        <w:t>, the merged components are:</w:t>
      </w:r>
      <w:bookmarkEnd w:id="28"/>
    </w:p>
    <w:p w14:paraId="6EF69082" w14:textId="0011216A" w:rsidR="00C44C36" w:rsidRPr="00201106" w:rsidRDefault="00C44C36" w:rsidP="00C44C36">
      <w:pPr>
        <w:pStyle w:val="Proposal"/>
        <w:numPr>
          <w:ilvl w:val="0"/>
          <w:numId w:val="28"/>
        </w:numPr>
      </w:pPr>
      <w:bookmarkStart w:id="29" w:name="_Toc142516095"/>
      <w:r w:rsidRPr="00B20C2F">
        <w:rPr>
          <w:rFonts w:cs="Arial"/>
          <w:color w:val="000000" w:themeColor="text1"/>
          <w:sz w:val="14"/>
          <w:szCs w:val="14"/>
        </w:rPr>
        <w:t xml:space="preserve">1. UE reports GNSS position fix time duration for measurement </w:t>
      </w:r>
      <w:r w:rsidRPr="00B20C2F">
        <w:rPr>
          <w:rFonts w:cs="Arial"/>
          <w:color w:val="000000" w:themeColor="text1"/>
          <w:sz w:val="14"/>
          <w:szCs w:val="14"/>
          <w:lang w:val="en-US"/>
        </w:rPr>
        <w:t xml:space="preserve">and </w:t>
      </w:r>
      <w:r w:rsidRPr="00B20C2F">
        <w:rPr>
          <w:rFonts w:cs="Arial"/>
          <w:color w:val="FF0000"/>
          <w:sz w:val="14"/>
          <w:szCs w:val="14"/>
          <w:lang w:val="en-US"/>
        </w:rPr>
        <w:t>remaining GNSS</w:t>
      </w:r>
      <w:r w:rsidRPr="00B20C2F">
        <w:rPr>
          <w:rFonts w:cs="Arial"/>
          <w:color w:val="000000" w:themeColor="text1"/>
          <w:sz w:val="14"/>
          <w:szCs w:val="14"/>
          <w:lang w:val="en-US"/>
        </w:rPr>
        <w:t xml:space="preserve"> </w:t>
      </w:r>
      <w:r w:rsidRPr="00B20C2F">
        <w:rPr>
          <w:rFonts w:cs="Arial"/>
          <w:strike/>
          <w:color w:val="FF0000"/>
          <w:sz w:val="14"/>
          <w:szCs w:val="14"/>
          <w:lang w:val="en-US"/>
        </w:rPr>
        <w:t>validation</w:t>
      </w:r>
      <w:r w:rsidRPr="00B20C2F">
        <w:rPr>
          <w:rFonts w:cs="Arial"/>
          <w:color w:val="000000" w:themeColor="text1"/>
          <w:sz w:val="14"/>
          <w:szCs w:val="14"/>
          <w:lang w:val="en-US"/>
        </w:rPr>
        <w:t xml:space="preserve"> </w:t>
      </w:r>
      <w:r w:rsidRPr="00B20C2F">
        <w:rPr>
          <w:rFonts w:cs="Arial"/>
          <w:color w:val="FF0000"/>
          <w:sz w:val="14"/>
          <w:szCs w:val="14"/>
          <w:lang w:val="en-US"/>
        </w:rPr>
        <w:t>validity</w:t>
      </w:r>
      <w:r w:rsidRPr="00B20C2F">
        <w:rPr>
          <w:rFonts w:cs="Arial"/>
          <w:color w:val="000000" w:themeColor="text1"/>
          <w:sz w:val="14"/>
          <w:szCs w:val="14"/>
          <w:lang w:val="en-US"/>
        </w:rPr>
        <w:t xml:space="preserve"> duration</w:t>
      </w:r>
      <w:r w:rsidRPr="00B20C2F">
        <w:rPr>
          <w:rFonts w:cs="Arial"/>
          <w:color w:val="000000" w:themeColor="text1"/>
          <w:sz w:val="14"/>
          <w:szCs w:val="14"/>
        </w:rPr>
        <w:t xml:space="preserve"> at least</w:t>
      </w:r>
      <w:r w:rsidRPr="00B20C2F">
        <w:rPr>
          <w:rFonts w:cs="Arial"/>
          <w:color w:val="000000" w:themeColor="text1"/>
          <w:sz w:val="14"/>
          <w:szCs w:val="14"/>
          <w:lang w:val="en-US"/>
        </w:rPr>
        <w:t xml:space="preserve"> during the initial access stage</w:t>
      </w:r>
      <w:r w:rsidRPr="00B20C2F">
        <w:rPr>
          <w:rFonts w:cs="Arial"/>
          <w:color w:val="000000" w:themeColor="text1"/>
          <w:sz w:val="14"/>
          <w:szCs w:val="14"/>
        </w:rPr>
        <w:t xml:space="preserve"> </w:t>
      </w:r>
      <w:r w:rsidRPr="00B20C2F">
        <w:rPr>
          <w:rFonts w:cs="Arial"/>
          <w:color w:val="000000" w:themeColor="text1"/>
          <w:sz w:val="14"/>
          <w:szCs w:val="14"/>
          <w:highlight w:val="yellow"/>
        </w:rPr>
        <w:t>[</w:t>
      </w:r>
      <w:r w:rsidRPr="00B20C2F">
        <w:rPr>
          <w:rFonts w:cs="Arial"/>
          <w:strike/>
          <w:color w:val="FF0000"/>
          <w:sz w:val="14"/>
          <w:szCs w:val="14"/>
          <w:highlight w:val="yellow"/>
        </w:rPr>
        <w:t>during the initial access stage</w:t>
      </w:r>
      <w:r w:rsidRPr="00B20C2F">
        <w:rPr>
          <w:rFonts w:cs="Arial"/>
          <w:color w:val="000000" w:themeColor="text1"/>
          <w:sz w:val="14"/>
          <w:szCs w:val="14"/>
          <w:highlight w:val="yellow"/>
        </w:rPr>
        <w:t xml:space="preserve"> and in connected mode]</w:t>
      </w:r>
      <w:r w:rsidR="00826984">
        <w:rPr>
          <w:rFonts w:cs="Arial"/>
          <w:color w:val="000000" w:themeColor="text1"/>
          <w:sz w:val="14"/>
          <w:szCs w:val="14"/>
        </w:rPr>
        <w:t>.</w:t>
      </w:r>
      <w:bookmarkEnd w:id="29"/>
    </w:p>
    <w:p w14:paraId="0412BDA5" w14:textId="2C3B9D53" w:rsidR="00C44C36" w:rsidRPr="00201106" w:rsidRDefault="00C44C36" w:rsidP="00C44C36">
      <w:pPr>
        <w:pStyle w:val="Proposal"/>
        <w:numPr>
          <w:ilvl w:val="0"/>
          <w:numId w:val="28"/>
        </w:numPr>
      </w:pPr>
      <w:bookmarkStart w:id="30" w:name="_Toc142516096"/>
      <w:r w:rsidRPr="00B20C2F">
        <w:rPr>
          <w:rFonts w:cs="Arial"/>
          <w:color w:val="000000" w:themeColor="text1"/>
          <w:sz w:val="14"/>
          <w:szCs w:val="14"/>
        </w:rPr>
        <w:t xml:space="preserve">2. </w:t>
      </w:r>
      <w:r w:rsidRPr="00B20C2F">
        <w:rPr>
          <w:rFonts w:cs="Arial"/>
          <w:color w:val="FF0000"/>
          <w:sz w:val="14"/>
          <w:szCs w:val="14"/>
          <w:lang w:val="en-US"/>
        </w:rPr>
        <w:t>If</w:t>
      </w:r>
      <w:r w:rsidRPr="00B20C2F">
        <w:rPr>
          <w:rFonts w:cs="Arial"/>
          <w:color w:val="000000" w:themeColor="text1"/>
          <w:sz w:val="14"/>
          <w:szCs w:val="14"/>
          <w:lang w:val="en-US"/>
        </w:rPr>
        <w:t xml:space="preserve"> </w:t>
      </w:r>
      <w:r w:rsidRPr="00B20C2F">
        <w:rPr>
          <w:rFonts w:cs="Arial"/>
          <w:color w:val="000000" w:themeColor="text1"/>
          <w:sz w:val="14"/>
          <w:szCs w:val="14"/>
        </w:rPr>
        <w:t xml:space="preserve">UE receives eNB GNSS measurement trigger </w:t>
      </w:r>
      <w:r w:rsidRPr="00B20C2F">
        <w:rPr>
          <w:rFonts w:cs="Arial"/>
          <w:color w:val="FF0000"/>
          <w:sz w:val="14"/>
          <w:szCs w:val="14"/>
          <w:lang w:val="en-US"/>
        </w:rPr>
        <w:t xml:space="preserve">before expiration of GNSS validity plus extension duration (if configured), </w:t>
      </w:r>
      <w:r w:rsidRPr="00B20C2F">
        <w:rPr>
          <w:rFonts w:cs="Arial"/>
          <w:color w:val="000000" w:themeColor="text1"/>
          <w:sz w:val="14"/>
          <w:szCs w:val="14"/>
        </w:rPr>
        <w:t xml:space="preserve">UE re-acquires GNSS </w:t>
      </w:r>
      <w:r w:rsidRPr="00B20C2F">
        <w:rPr>
          <w:rFonts w:cs="Arial"/>
          <w:color w:val="FF0000"/>
          <w:sz w:val="14"/>
          <w:szCs w:val="14"/>
          <w:lang w:val="en-US"/>
        </w:rPr>
        <w:t>position fix</w:t>
      </w:r>
      <w:r w:rsidRPr="00B20C2F">
        <w:rPr>
          <w:rFonts w:cs="Arial"/>
          <w:color w:val="000000" w:themeColor="text1"/>
          <w:sz w:val="14"/>
          <w:szCs w:val="14"/>
          <w:lang w:val="en-US"/>
        </w:rPr>
        <w:t xml:space="preserve"> </w:t>
      </w:r>
      <w:r w:rsidRPr="00B20C2F">
        <w:rPr>
          <w:rFonts w:cs="Arial"/>
          <w:color w:val="000000" w:themeColor="text1"/>
          <w:sz w:val="14"/>
          <w:szCs w:val="14"/>
        </w:rPr>
        <w:t>in RRC Connected state</w:t>
      </w:r>
      <w:r w:rsidRPr="00B20C2F">
        <w:rPr>
          <w:rFonts w:cs="Arial"/>
          <w:color w:val="000000" w:themeColor="text1"/>
          <w:sz w:val="14"/>
          <w:szCs w:val="14"/>
          <w:lang w:val="en-US"/>
        </w:rPr>
        <w:t xml:space="preserve"> </w:t>
      </w:r>
      <w:r w:rsidRPr="00B20C2F">
        <w:rPr>
          <w:rFonts w:cs="Arial"/>
          <w:color w:val="FF0000"/>
          <w:sz w:val="14"/>
          <w:szCs w:val="14"/>
          <w:lang w:val="en-US"/>
        </w:rPr>
        <w:t>within the configured GNSS measurement gap</w:t>
      </w:r>
      <w:r w:rsidR="00826984">
        <w:rPr>
          <w:rFonts w:cs="Arial"/>
          <w:color w:val="FF0000"/>
          <w:sz w:val="14"/>
          <w:szCs w:val="14"/>
          <w:lang w:val="en-US"/>
        </w:rPr>
        <w:t>.</w:t>
      </w:r>
      <w:bookmarkEnd w:id="30"/>
    </w:p>
    <w:p w14:paraId="5E022481" w14:textId="060F4D61" w:rsidR="00C44C36" w:rsidRPr="00FA21E1" w:rsidRDefault="00C44C36" w:rsidP="00C44C36">
      <w:pPr>
        <w:pStyle w:val="Proposal"/>
        <w:numPr>
          <w:ilvl w:val="0"/>
          <w:numId w:val="28"/>
        </w:numPr>
      </w:pPr>
      <w:bookmarkStart w:id="31" w:name="_Toc142516097"/>
      <w:r w:rsidRPr="00B20C2F">
        <w:rPr>
          <w:rFonts w:cs="Arial"/>
          <w:strike/>
          <w:color w:val="FF0000"/>
          <w:sz w:val="14"/>
          <w:szCs w:val="14"/>
        </w:rPr>
        <w:t>3. UE re-acquires GNSS in RRC Connected state</w:t>
      </w:r>
      <w:r w:rsidR="00826984">
        <w:rPr>
          <w:rFonts w:cs="Arial"/>
          <w:strike/>
          <w:color w:val="FF0000"/>
          <w:sz w:val="14"/>
          <w:szCs w:val="14"/>
        </w:rPr>
        <w:t>.</w:t>
      </w:r>
      <w:bookmarkEnd w:id="31"/>
    </w:p>
    <w:p w14:paraId="133F403C" w14:textId="14182349" w:rsidR="00C44C36" w:rsidRPr="00FA21E1" w:rsidRDefault="00C44C36" w:rsidP="00C44C36">
      <w:pPr>
        <w:pStyle w:val="Proposal"/>
        <w:numPr>
          <w:ilvl w:val="0"/>
          <w:numId w:val="28"/>
        </w:numPr>
      </w:pPr>
      <w:bookmarkStart w:id="32" w:name="_Toc142516098"/>
      <w:r w:rsidRPr="00B20C2F">
        <w:rPr>
          <w:rFonts w:cs="Arial"/>
          <w:strike/>
          <w:color w:val="FF0000"/>
          <w:sz w:val="14"/>
          <w:szCs w:val="14"/>
        </w:rPr>
        <w:t>4. UE re-acquires GNSS position fix within a configured gap</w:t>
      </w:r>
      <w:r w:rsidR="00826984">
        <w:rPr>
          <w:rFonts w:cs="Arial"/>
          <w:strike/>
          <w:color w:val="FF0000"/>
          <w:sz w:val="14"/>
          <w:szCs w:val="14"/>
        </w:rPr>
        <w:t>.</w:t>
      </w:r>
      <w:bookmarkEnd w:id="32"/>
    </w:p>
    <w:p w14:paraId="23E9953B" w14:textId="33576528" w:rsidR="00631380" w:rsidRPr="00631380" w:rsidRDefault="00C44C36" w:rsidP="00631380">
      <w:pPr>
        <w:pStyle w:val="Proposal"/>
        <w:numPr>
          <w:ilvl w:val="0"/>
          <w:numId w:val="28"/>
        </w:numPr>
      </w:pPr>
      <w:bookmarkStart w:id="33" w:name="_Toc142516099"/>
      <w:r w:rsidRPr="00B20C2F">
        <w:rPr>
          <w:rFonts w:cs="Arial"/>
          <w:color w:val="FF0000"/>
          <w:sz w:val="14"/>
          <w:szCs w:val="14"/>
        </w:rPr>
        <w:t xml:space="preserve">3. </w:t>
      </w:r>
      <w:r w:rsidRPr="00B20C2F">
        <w:rPr>
          <w:rFonts w:cs="Arial"/>
          <w:color w:val="FF0000"/>
          <w:sz w:val="14"/>
          <w:szCs w:val="14"/>
          <w:lang w:val="en-US"/>
        </w:rPr>
        <w:t xml:space="preserve">If </w:t>
      </w:r>
      <w:r w:rsidRPr="00B20C2F">
        <w:rPr>
          <w:rFonts w:cs="Arial"/>
          <w:color w:val="FF0000"/>
          <w:sz w:val="14"/>
          <w:szCs w:val="14"/>
        </w:rPr>
        <w:t xml:space="preserve">UE does not receive eNB GNSS measurement trigger </w:t>
      </w:r>
      <w:r w:rsidRPr="00B20C2F">
        <w:rPr>
          <w:rFonts w:cs="Arial"/>
          <w:color w:val="FF0000"/>
          <w:sz w:val="14"/>
          <w:szCs w:val="14"/>
          <w:lang w:val="en-US"/>
        </w:rPr>
        <w:t xml:space="preserve">before expiration of GNSS validity plus extension duration (if configured), </w:t>
      </w:r>
      <w:r w:rsidRPr="00B20C2F">
        <w:rPr>
          <w:rFonts w:cs="Arial"/>
          <w:color w:val="FF0000"/>
          <w:sz w:val="14"/>
          <w:szCs w:val="14"/>
        </w:rPr>
        <w:t xml:space="preserve">UE re-acquires GNSS </w:t>
      </w:r>
      <w:r w:rsidRPr="00B20C2F">
        <w:rPr>
          <w:rFonts w:cs="Arial"/>
          <w:color w:val="FF0000"/>
          <w:sz w:val="14"/>
          <w:szCs w:val="14"/>
          <w:lang w:val="en-US"/>
        </w:rPr>
        <w:t xml:space="preserve">position fix </w:t>
      </w:r>
      <w:r w:rsidRPr="00B20C2F">
        <w:rPr>
          <w:rFonts w:cs="Arial"/>
          <w:color w:val="FF0000"/>
          <w:sz w:val="14"/>
          <w:szCs w:val="14"/>
        </w:rPr>
        <w:t>in RRC Connected state</w:t>
      </w:r>
      <w:r w:rsidRPr="00B20C2F">
        <w:rPr>
          <w:rFonts w:cs="Arial"/>
          <w:color w:val="FF0000"/>
          <w:sz w:val="14"/>
          <w:szCs w:val="14"/>
          <w:lang w:val="en-US"/>
        </w:rPr>
        <w:t xml:space="preserve"> within the autonomous GNSS measurement gap (if configured).</w:t>
      </w:r>
      <w:bookmarkEnd w:id="33"/>
    </w:p>
    <w:p w14:paraId="1B551772" w14:textId="54BB7F92" w:rsidR="00C562C3" w:rsidRDefault="00C562C3">
      <w:pPr>
        <w:pStyle w:val="Heading2"/>
      </w:pPr>
      <w:r>
        <w:t>2.4</w:t>
      </w:r>
      <w:r>
        <w:tab/>
        <w:t>GNSS reacquisition for NB-IoT</w:t>
      </w:r>
    </w:p>
    <w:p w14:paraId="44F328C9" w14:textId="73E4A599" w:rsidR="00C562C3" w:rsidRDefault="00C562C3" w:rsidP="00C562C3">
      <w:r>
        <w:t xml:space="preserve">We </w:t>
      </w:r>
      <w:r w:rsidR="009A5CFC">
        <w:t>share our views on</w:t>
      </w:r>
      <w:r w:rsidRPr="009F5A11">
        <w:t xml:space="preserve"> the </w:t>
      </w:r>
      <w:r w:rsidR="009A5CFC">
        <w:t>following</w:t>
      </w:r>
      <w:r w:rsidR="009A5CFC" w:rsidRPr="009F5A11">
        <w:t xml:space="preserve"> </w:t>
      </w:r>
      <w:r w:rsidRPr="009F5A11">
        <w:t xml:space="preserve">RAN1 UE feature list </w:t>
      </w:r>
      <w:r>
        <w:t xml:space="preserve">for </w:t>
      </w:r>
      <w:r w:rsidR="009A5CFC">
        <w:t>improved</w:t>
      </w:r>
      <w:r>
        <w:t xml:space="preserve"> GNSS </w:t>
      </w:r>
      <w:r w:rsidR="009A5CFC">
        <w:t>operations for</w:t>
      </w:r>
      <w:r>
        <w:t xml:space="preserve"> NB-IoT</w:t>
      </w:r>
      <w:r w:rsidRPr="009F5A11">
        <w:t xml:space="preserve"> as endorsed in [</w:t>
      </w:r>
      <w:r>
        <w:t>2</w:t>
      </w:r>
      <w:r w:rsidRPr="009F5A11">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582"/>
        <w:gridCol w:w="2033"/>
        <w:gridCol w:w="3627"/>
        <w:gridCol w:w="1333"/>
        <w:gridCol w:w="1738"/>
      </w:tblGrid>
      <w:tr w:rsidR="00C562C3" w:rsidRPr="00C03A23" w14:paraId="1255313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3F707ADD"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592653F0"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2E6F0E5B"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868FAC"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642B8CA"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B7E83D"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033006" w:rsidRPr="00C03A23" w14:paraId="6C79E319"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F037E" w14:textId="60981C13" w:rsidR="00033006" w:rsidRPr="00033006" w:rsidRDefault="00033006" w:rsidP="00033006">
            <w:pPr>
              <w:pStyle w:val="TAL"/>
              <w:rPr>
                <w:rFonts w:cs="Arial"/>
                <w:color w:val="000000" w:themeColor="text1"/>
                <w:sz w:val="14"/>
                <w:szCs w:val="14"/>
                <w:lang w:eastAsia="ja-JP"/>
              </w:rPr>
            </w:pPr>
            <w:r w:rsidRPr="00033006">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5EF2A" w14:textId="4E4B9AB6"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D16E" w14:textId="1BDA47C9"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20FF" w14:textId="77777777"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 xml:space="preserve">1. UE reports GNSS position fix time duration for measurement </w:t>
            </w:r>
            <w:r w:rsidRPr="00033006">
              <w:rPr>
                <w:rFonts w:cs="Arial"/>
                <w:color w:val="000000" w:themeColor="text1"/>
                <w:sz w:val="14"/>
                <w:szCs w:val="14"/>
                <w:lang w:val="en-US" w:eastAsia="zh-CN"/>
              </w:rPr>
              <w:t>and validation duration</w:t>
            </w:r>
            <w:r w:rsidRPr="00033006">
              <w:rPr>
                <w:rFonts w:cs="Arial"/>
                <w:color w:val="000000" w:themeColor="text1"/>
                <w:sz w:val="14"/>
                <w:szCs w:val="14"/>
              </w:rPr>
              <w:t xml:space="preserve"> at least </w:t>
            </w:r>
            <w:r w:rsidRPr="00033006">
              <w:rPr>
                <w:rFonts w:cs="Arial"/>
                <w:color w:val="000000" w:themeColor="text1"/>
                <w:sz w:val="14"/>
                <w:szCs w:val="14"/>
                <w:highlight w:val="yellow"/>
              </w:rPr>
              <w:t>[during the initial access stage and in connected mode]</w:t>
            </w:r>
          </w:p>
          <w:p w14:paraId="6F31C30E" w14:textId="77777777"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lang w:eastAsia="zh-CN"/>
              </w:rPr>
              <w:t xml:space="preserve">2. UE receives eNB GNSS measurement trigger </w:t>
            </w:r>
          </w:p>
          <w:p w14:paraId="6314E9EB" w14:textId="77777777"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lang w:eastAsia="zh-CN"/>
              </w:rPr>
              <w:t xml:space="preserve">3. UE </w:t>
            </w:r>
            <w:r w:rsidRPr="00033006">
              <w:rPr>
                <w:rFonts w:cs="Arial"/>
                <w:color w:val="000000" w:themeColor="text1"/>
                <w:sz w:val="14"/>
                <w:szCs w:val="14"/>
              </w:rPr>
              <w:t>re-acquires GNSS in RRC Connected state</w:t>
            </w:r>
          </w:p>
          <w:p w14:paraId="5022835C" w14:textId="345EC3B3" w:rsidR="00033006" w:rsidRPr="00033006" w:rsidRDefault="00033006" w:rsidP="00033006">
            <w:pPr>
              <w:rPr>
                <w:rFonts w:ascii="Arial" w:hAnsi="Arial" w:cs="Arial"/>
                <w:color w:val="000000" w:themeColor="text1"/>
                <w:sz w:val="14"/>
                <w:szCs w:val="14"/>
              </w:rPr>
            </w:pPr>
            <w:r w:rsidRPr="00033006">
              <w:rPr>
                <w:rFonts w:ascii="Arial" w:hAnsi="Arial" w:cs="Arial"/>
                <w:color w:val="000000" w:themeColor="text1"/>
                <w:sz w:val="14"/>
                <w:szCs w:val="14"/>
                <w:lang w:eastAsia="zh-CN"/>
              </w:rPr>
              <w:t>4. UE re-acquires GNSS position fix within a configured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2EDF" w14:textId="6A83EF97"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01AC" w14:textId="17CE3935"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Yes</w:t>
            </w:r>
          </w:p>
        </w:tc>
      </w:tr>
      <w:tr w:rsidR="00033006" w:rsidRPr="00C03A23" w14:paraId="74E7EF52"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A1817" w14:textId="79C3CF51" w:rsidR="00033006" w:rsidRPr="00033006" w:rsidRDefault="00033006" w:rsidP="00033006">
            <w:pPr>
              <w:pStyle w:val="TAL"/>
              <w:rPr>
                <w:rFonts w:cs="Arial"/>
                <w:color w:val="000000" w:themeColor="text1"/>
                <w:sz w:val="14"/>
                <w:szCs w:val="14"/>
                <w:lang w:eastAsia="ja-JP"/>
              </w:rPr>
            </w:pPr>
            <w:r w:rsidRPr="00033006">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F44F" w14:textId="4B707FFE"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5F40" w14:textId="189BDE18"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80F5C" w14:textId="77777777" w:rsidR="00033006" w:rsidRPr="00033006" w:rsidRDefault="00033006" w:rsidP="00033006">
            <w:pPr>
              <w:rPr>
                <w:rFonts w:ascii="Arial" w:hAnsi="Arial" w:cs="Arial"/>
                <w:color w:val="000000" w:themeColor="text1"/>
                <w:sz w:val="14"/>
                <w:szCs w:val="14"/>
                <w:lang w:eastAsia="zh-CN"/>
              </w:rPr>
            </w:pPr>
            <w:r w:rsidRPr="00033006">
              <w:rPr>
                <w:rFonts w:ascii="Arial" w:hAnsi="Arial" w:cs="Arial"/>
                <w:color w:val="000000" w:themeColor="text1"/>
                <w:sz w:val="14"/>
                <w:szCs w:val="14"/>
                <w:highlight w:val="yellow"/>
                <w:lang w:eastAsia="zh-CN"/>
              </w:rPr>
              <w:t>[1. UE re-acquires GNSS autonomously (when configured by the network) if it does not receive eNB GNSS measurement trigger]</w:t>
            </w:r>
          </w:p>
          <w:p w14:paraId="25F4B569" w14:textId="0FF22147" w:rsidR="00033006" w:rsidRPr="00033006" w:rsidRDefault="00033006" w:rsidP="00033006">
            <w:pPr>
              <w:rPr>
                <w:rFonts w:ascii="Arial" w:hAnsi="Arial" w:cs="Arial"/>
                <w:color w:val="000000" w:themeColor="text1"/>
                <w:sz w:val="14"/>
                <w:szCs w:val="14"/>
              </w:rPr>
            </w:pPr>
            <w:r w:rsidRPr="00033006">
              <w:rPr>
                <w:rFonts w:ascii="Arial" w:hAnsi="Arial" w:cs="Arial"/>
                <w:color w:val="000000" w:themeColor="text1"/>
                <w:sz w:val="14"/>
                <w:szCs w:val="14"/>
              </w:rPr>
              <w:t xml:space="preserve">2. UE reports GNSS position fix time duration for measurement at least during the initial access stage </w:t>
            </w:r>
            <w:r w:rsidRPr="00033006">
              <w:rPr>
                <w:rFonts w:ascii="Arial" w:hAnsi="Arial" w:cs="Arial"/>
                <w:color w:val="000000" w:themeColor="text1"/>
                <w:sz w:val="14"/>
                <w:szCs w:val="14"/>
                <w:highlight w:val="yellow"/>
              </w:rPr>
              <w:t>[and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32F2" w14:textId="52C34C68"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highlight w:val="yellow"/>
              </w:rPr>
              <w:t>[Rel. 18 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316D" w14:textId="295710B8" w:rsidR="00033006" w:rsidRPr="00033006" w:rsidRDefault="00033006" w:rsidP="00033006">
            <w:pPr>
              <w:pStyle w:val="TAL"/>
              <w:rPr>
                <w:rFonts w:cs="Arial"/>
                <w:color w:val="000000" w:themeColor="text1"/>
                <w:sz w:val="14"/>
                <w:szCs w:val="14"/>
                <w:lang w:eastAsia="zh-CN"/>
              </w:rPr>
            </w:pPr>
          </w:p>
        </w:tc>
      </w:tr>
    </w:tbl>
    <w:p w14:paraId="00D51CFF" w14:textId="77777777" w:rsidR="00C562C3" w:rsidRDefault="00C562C3" w:rsidP="00C562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563"/>
        <w:gridCol w:w="1651"/>
        <w:gridCol w:w="1248"/>
        <w:gridCol w:w="1307"/>
        <w:gridCol w:w="1492"/>
        <w:gridCol w:w="1591"/>
      </w:tblGrid>
      <w:tr w:rsidR="000834B3" w:rsidRPr="000B60E1" w14:paraId="4157EB9E"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0AC60E06"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B14B62C"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9DB1F5"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00C0B888"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73F98B"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3935EC"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5D65775"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5AE5EA3C"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0834B3" w:rsidRPr="000B60E1" w14:paraId="0B2CB92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6F4D9" w14:textId="77777777" w:rsidR="000834B3" w:rsidRPr="000B60E1" w:rsidRDefault="000834B3" w:rsidP="000834B3">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AB23"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Release 18 NB-IoT UE cannot get triggered GNSS position fix in RRC Connected state</w:t>
            </w:r>
          </w:p>
          <w:p w14:paraId="3CCB3395" w14:textId="77777777" w:rsidR="000834B3" w:rsidRPr="000834B3" w:rsidRDefault="000834B3" w:rsidP="000834B3">
            <w:pPr>
              <w:pStyle w:val="TAL"/>
              <w:rPr>
                <w:rFonts w:cs="Arial"/>
                <w:color w:val="000000" w:themeColor="text1"/>
                <w:sz w:val="14"/>
                <w:szCs w:val="14"/>
              </w:rPr>
            </w:pPr>
          </w:p>
          <w:p w14:paraId="711C0A9C" w14:textId="5A86BB1C" w:rsidR="000834B3" w:rsidRPr="000834B3" w:rsidRDefault="000834B3" w:rsidP="000834B3">
            <w:pPr>
              <w:pStyle w:val="TAL"/>
              <w:rPr>
                <w:rFonts w:cs="Arial"/>
                <w:color w:val="000000" w:themeColor="text1"/>
                <w:sz w:val="14"/>
                <w:szCs w:val="14"/>
                <w:lang w:val="en-US" w:eastAsia="zh-CN"/>
              </w:rPr>
            </w:pPr>
            <w:r w:rsidRPr="000834B3">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0472" w14:textId="0CC9A6A1" w:rsidR="000834B3" w:rsidRPr="000834B3" w:rsidRDefault="000834B3" w:rsidP="000834B3">
            <w:pPr>
              <w:pStyle w:val="TAL"/>
              <w:rPr>
                <w:rFonts w:cs="Arial"/>
                <w:color w:val="000000" w:themeColor="text1"/>
                <w:sz w:val="14"/>
                <w:szCs w:val="14"/>
                <w:lang w:eastAsia="zh-CN"/>
              </w:rPr>
            </w:pPr>
            <w:r w:rsidRPr="000834B3">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7A54" w14:textId="35A5B14C"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DE75" w14:textId="0ACE1156"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B2BA" w14:textId="77777777" w:rsidR="000834B3" w:rsidRPr="000834B3" w:rsidRDefault="000834B3" w:rsidP="000834B3">
            <w:pPr>
              <w:pStyle w:val="TAL"/>
              <w:rPr>
                <w:rFonts w:cs="Arial"/>
                <w:color w:val="000000" w:themeColor="text1"/>
                <w:sz w:val="14"/>
                <w:szCs w:val="14"/>
                <w:lang w:val="en-US" w:eastAsia="zh-CN"/>
              </w:rPr>
            </w:pPr>
            <w:r w:rsidRPr="000834B3">
              <w:rPr>
                <w:rFonts w:cs="Arial"/>
                <w:color w:val="000000" w:themeColor="text1"/>
                <w:sz w:val="14"/>
                <w:szCs w:val="14"/>
                <w:lang w:val="en-US" w:eastAsia="zh-CN"/>
              </w:rPr>
              <w:t>Note: This applies to non-DRX</w:t>
            </w:r>
          </w:p>
          <w:p w14:paraId="0D7C30E9" w14:textId="77777777" w:rsidR="000834B3" w:rsidRPr="000834B3" w:rsidRDefault="000834B3" w:rsidP="000834B3">
            <w:pPr>
              <w:pStyle w:val="TAL"/>
              <w:rPr>
                <w:rFonts w:cs="Arial"/>
                <w:color w:val="000000" w:themeColor="text1"/>
                <w:sz w:val="14"/>
                <w:szCs w:val="14"/>
                <w:lang w:val="en-US" w:eastAsia="zh-CN"/>
              </w:rPr>
            </w:pPr>
          </w:p>
          <w:p w14:paraId="63AE9B6A" w14:textId="706D1BFB"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135D" w14:textId="73E50C0F"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r w:rsidR="000834B3" w:rsidRPr="000B60E1" w14:paraId="47D7A48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86D0E" w14:textId="77777777" w:rsidR="000834B3" w:rsidRPr="000B60E1" w:rsidRDefault="000834B3" w:rsidP="000834B3">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5C50"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Release 18 NB-IoT UE cannot get autonomous GNSS position fix in RRC Connected state</w:t>
            </w:r>
          </w:p>
          <w:p w14:paraId="55FB3557" w14:textId="77777777" w:rsidR="000834B3" w:rsidRPr="000834B3" w:rsidRDefault="000834B3" w:rsidP="000834B3">
            <w:pPr>
              <w:pStyle w:val="TAL"/>
              <w:rPr>
                <w:rFonts w:cs="Arial"/>
                <w:color w:val="000000" w:themeColor="text1"/>
                <w:sz w:val="14"/>
                <w:szCs w:val="14"/>
              </w:rPr>
            </w:pPr>
          </w:p>
          <w:p w14:paraId="1D0C8209" w14:textId="213A2100" w:rsidR="000834B3" w:rsidRPr="000834B3" w:rsidRDefault="000834B3" w:rsidP="000834B3">
            <w:pPr>
              <w:pStyle w:val="TAL"/>
              <w:rPr>
                <w:rFonts w:cs="Arial"/>
                <w:color w:val="000000" w:themeColor="text1"/>
                <w:sz w:val="14"/>
                <w:szCs w:val="14"/>
                <w:lang w:val="en-US" w:eastAsia="zh-CN"/>
              </w:rPr>
            </w:pPr>
            <w:r w:rsidRPr="000834B3">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65D8" w14:textId="73CA4D69" w:rsidR="000834B3" w:rsidRPr="000834B3" w:rsidRDefault="000834B3" w:rsidP="000834B3">
            <w:pPr>
              <w:pStyle w:val="TAL"/>
              <w:rPr>
                <w:rFonts w:cs="Arial"/>
                <w:color w:val="000000" w:themeColor="text1"/>
                <w:sz w:val="14"/>
                <w:szCs w:val="14"/>
                <w:lang w:eastAsia="zh-CN"/>
              </w:rPr>
            </w:pPr>
            <w:r w:rsidRPr="000834B3">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C964" w14:textId="6BCF3AF1"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C476" w14:textId="2E298435"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17F0"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Note: This applies to non-DRX</w:t>
            </w:r>
          </w:p>
          <w:p w14:paraId="5B7238B0" w14:textId="77777777" w:rsidR="000834B3" w:rsidRPr="000834B3" w:rsidRDefault="000834B3" w:rsidP="000834B3">
            <w:pPr>
              <w:pStyle w:val="TAL"/>
              <w:rPr>
                <w:rFonts w:cs="Arial"/>
                <w:color w:val="000000" w:themeColor="text1"/>
                <w:sz w:val="14"/>
                <w:szCs w:val="14"/>
                <w:highlight w:val="yellow"/>
              </w:rPr>
            </w:pPr>
          </w:p>
          <w:p w14:paraId="47F5A45C" w14:textId="77777777" w:rsidR="000834B3" w:rsidRPr="000834B3" w:rsidRDefault="000834B3" w:rsidP="000834B3">
            <w:pPr>
              <w:pStyle w:val="TAL"/>
              <w:rPr>
                <w:rFonts w:cs="Arial"/>
                <w:color w:val="000000" w:themeColor="text1"/>
                <w:sz w:val="14"/>
                <w:szCs w:val="14"/>
                <w:highlight w:val="yellow"/>
              </w:rPr>
            </w:pPr>
            <w:r w:rsidRPr="000834B3">
              <w:rPr>
                <w:rFonts w:cs="Arial"/>
                <w:color w:val="000000" w:themeColor="text1"/>
                <w:sz w:val="14"/>
                <w:szCs w:val="14"/>
                <w:highlight w:val="yellow"/>
              </w:rPr>
              <w:t>[Note: RAN1 kindly asks RAN2 to design signalling such that GSO/NGSO differentiation is possible]</w:t>
            </w:r>
          </w:p>
          <w:p w14:paraId="35AF30E5" w14:textId="77777777" w:rsidR="000834B3" w:rsidRPr="000834B3" w:rsidRDefault="000834B3" w:rsidP="000834B3">
            <w:pPr>
              <w:pStyle w:val="TAL"/>
              <w:rPr>
                <w:rFonts w:cs="Arial"/>
                <w:color w:val="000000" w:themeColor="text1"/>
                <w:sz w:val="14"/>
                <w:szCs w:val="14"/>
                <w:highlight w:val="yellow"/>
              </w:rPr>
            </w:pPr>
          </w:p>
          <w:p w14:paraId="14CF4F1C" w14:textId="1CF38202"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highlight w:val="yellow"/>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9BCB" w14:textId="5DA806AC"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bl>
    <w:p w14:paraId="36D0549E" w14:textId="77777777" w:rsidR="00C562C3" w:rsidRDefault="00C562C3" w:rsidP="00C562C3"/>
    <w:p w14:paraId="1A1B79AA" w14:textId="19A424C6" w:rsidR="000079DE" w:rsidRPr="009F5A11" w:rsidRDefault="000079DE" w:rsidP="000079DE">
      <w:pPr>
        <w:jc w:val="both"/>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Pr>
          <w:lang w:eastAsia="zh-CN"/>
        </w:rPr>
        <w:t>several</w:t>
      </w:r>
      <w:r w:rsidRPr="009F5A11">
        <w:rPr>
          <w:lang w:eastAsia="zh-CN"/>
        </w:rPr>
        <w:t xml:space="preserve"> comebacks:</w:t>
      </w:r>
    </w:p>
    <w:p w14:paraId="2B17320C" w14:textId="77777777" w:rsidR="00C562C3" w:rsidRDefault="00C562C3" w:rsidP="00C562C3">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[Per UE/Per band]</w:t>
      </w:r>
    </w:p>
    <w:p w14:paraId="33E7AE2F" w14:textId="4D75C0C7" w:rsidR="00C562C3" w:rsidRPr="00B010D2" w:rsidRDefault="00C562C3" w:rsidP="00C562C3">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 18 2-3</w:t>
      </w:r>
      <w:r w:rsidR="00724C06">
        <w:rPr>
          <w:rFonts w:ascii="Times New Roman" w:eastAsia="SimSun" w:hAnsi="Times New Roman"/>
          <w:sz w:val="20"/>
          <w:szCs w:val="20"/>
          <w:lang w:val="en-GB" w:eastAsia="zh-CN"/>
        </w:rPr>
        <w:t>b</w:t>
      </w:r>
      <w:r>
        <w:rPr>
          <w:rFonts w:ascii="Times New Roman" w:eastAsia="SimSun" w:hAnsi="Times New Roman"/>
          <w:sz w:val="20"/>
          <w:szCs w:val="20"/>
          <w:lang w:val="en-GB" w:eastAsia="zh-CN"/>
        </w:rPr>
        <w:t xml:space="preserve"> a pre-requisite for 2-4</w:t>
      </w:r>
      <w:r w:rsidR="00724C06">
        <w:rPr>
          <w:rFonts w:ascii="Times New Roman" w:eastAsia="SimSun" w:hAnsi="Times New Roman"/>
          <w:sz w:val="20"/>
          <w:szCs w:val="20"/>
          <w:lang w:val="en-GB" w:eastAsia="zh-CN"/>
        </w:rPr>
        <w:t>b</w:t>
      </w:r>
      <w:r>
        <w:rPr>
          <w:rFonts w:ascii="Times New Roman" w:eastAsia="SimSun" w:hAnsi="Times New Roman"/>
          <w:sz w:val="20"/>
          <w:szCs w:val="20"/>
          <w:lang w:val="en-GB" w:eastAsia="zh-CN"/>
        </w:rPr>
        <w:t>?</w:t>
      </w:r>
    </w:p>
    <w:p w14:paraId="5A1200E9" w14:textId="54DF1006" w:rsidR="00C562C3" w:rsidRDefault="00C562C3" w:rsidP="00C562C3">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lastRenderedPageBreak/>
        <w:t>FFS: whether to merge 2-</w:t>
      </w:r>
      <w:r>
        <w:rPr>
          <w:rFonts w:ascii="Times New Roman" w:eastAsia="SimSun" w:hAnsi="Times New Roman"/>
          <w:sz w:val="20"/>
          <w:szCs w:val="20"/>
          <w:lang w:val="en-GB" w:eastAsia="zh-CN"/>
        </w:rPr>
        <w:t>3</w:t>
      </w:r>
      <w:r w:rsidR="00724C06">
        <w:rPr>
          <w:rFonts w:ascii="Times New Roman" w:eastAsia="SimSun" w:hAnsi="Times New Roman"/>
          <w:sz w:val="20"/>
          <w:szCs w:val="20"/>
          <w:lang w:val="en-GB" w:eastAsia="zh-CN"/>
        </w:rPr>
        <w:t>b</w:t>
      </w:r>
      <w:r w:rsidRPr="00B010D2">
        <w:rPr>
          <w:rFonts w:ascii="Times New Roman" w:eastAsia="SimSun" w:hAnsi="Times New Roman"/>
          <w:sz w:val="20"/>
          <w:szCs w:val="20"/>
          <w:lang w:val="en-GB" w:eastAsia="zh-CN"/>
        </w:rPr>
        <w:t xml:space="preserve"> and 2-</w:t>
      </w:r>
      <w:r>
        <w:rPr>
          <w:rFonts w:ascii="Times New Roman" w:eastAsia="SimSun" w:hAnsi="Times New Roman"/>
          <w:sz w:val="20"/>
          <w:szCs w:val="20"/>
          <w:lang w:val="en-GB" w:eastAsia="zh-CN"/>
        </w:rPr>
        <w:t>4</w:t>
      </w:r>
      <w:r w:rsidR="00724C06">
        <w:rPr>
          <w:rFonts w:ascii="Times New Roman" w:eastAsia="SimSun" w:hAnsi="Times New Roman"/>
          <w:sz w:val="20"/>
          <w:szCs w:val="20"/>
          <w:lang w:val="en-GB" w:eastAsia="zh-CN"/>
        </w:rPr>
        <w:t>b</w:t>
      </w:r>
    </w:p>
    <w:p w14:paraId="7FB9E18D" w14:textId="77777777" w:rsidR="00C562C3" w:rsidRDefault="00C562C3" w:rsidP="00C562C3">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43F0AE43" w14:textId="7BDBA355" w:rsidR="005220FA" w:rsidRPr="005220FA" w:rsidRDefault="000079DE" w:rsidP="001246D5">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Components</w:t>
      </w:r>
    </w:p>
    <w:p w14:paraId="01A5B4EB" w14:textId="77777777" w:rsidR="005220FA" w:rsidRDefault="005220FA" w:rsidP="001246D5">
      <w:pPr>
        <w:jc w:val="both"/>
        <w:rPr>
          <w:lang w:eastAsia="zh-CN"/>
        </w:rPr>
      </w:pPr>
    </w:p>
    <w:p w14:paraId="3FDB770C" w14:textId="7D5D5C2A" w:rsidR="001246D5" w:rsidRPr="001246D5" w:rsidRDefault="005220FA" w:rsidP="001246D5">
      <w:pPr>
        <w:jc w:val="both"/>
        <w:rPr>
          <w:lang w:eastAsia="zh-CN"/>
        </w:rPr>
      </w:pPr>
      <w:r>
        <w:rPr>
          <w:lang w:eastAsia="zh-CN"/>
        </w:rPr>
        <w:t>We put forth the following proposal.</w:t>
      </w:r>
    </w:p>
    <w:p w14:paraId="10C020E6" w14:textId="3EE979E8" w:rsidR="00C562C3" w:rsidRDefault="00C562C3" w:rsidP="00C562C3">
      <w:pPr>
        <w:pStyle w:val="Proposal"/>
      </w:pPr>
      <w:bookmarkStart w:id="34" w:name="_Toc142516100"/>
      <w:r w:rsidRPr="009F5A11">
        <w:t xml:space="preserve">For </w:t>
      </w:r>
      <w:r>
        <w:t xml:space="preserve">the comebacks on </w:t>
      </w:r>
      <w:r w:rsidRPr="009F5A11">
        <w:t>FG 2-</w:t>
      </w:r>
      <w:r>
        <w:t>3</w:t>
      </w:r>
      <w:r w:rsidR="00724C06">
        <w:t>b</w:t>
      </w:r>
      <w:r w:rsidRPr="009F5A11">
        <w:t xml:space="preserve"> and FG 2-</w:t>
      </w:r>
      <w:r>
        <w:t>4</w:t>
      </w:r>
      <w:r w:rsidR="00724C06">
        <w:t>b</w:t>
      </w:r>
      <w:r w:rsidRPr="009F5A11">
        <w:t>:</w:t>
      </w:r>
      <w:bookmarkEnd w:id="34"/>
    </w:p>
    <w:p w14:paraId="7F19AC27" w14:textId="77777777" w:rsidR="00C562C3" w:rsidRPr="00455F6F" w:rsidRDefault="00C562C3" w:rsidP="00C562C3">
      <w:pPr>
        <w:pStyle w:val="Proposal"/>
        <w:numPr>
          <w:ilvl w:val="0"/>
          <w:numId w:val="28"/>
        </w:numPr>
        <w:rPr>
          <w:rFonts w:ascii="Calibri" w:hAnsi="Calibri" w:cs="Arial"/>
          <w:sz w:val="22"/>
          <w:szCs w:val="22"/>
          <w:lang w:val="x-none"/>
        </w:rPr>
      </w:pPr>
      <w:bookmarkStart w:id="35" w:name="_Toc142516101"/>
      <w:r w:rsidRPr="00C249F7">
        <w:rPr>
          <w:color w:val="7F7F7F" w:themeColor="text1" w:themeTint="80"/>
        </w:rPr>
        <w:t xml:space="preserve">[Per UE/Per band]: </w:t>
      </w:r>
      <w:r>
        <w:t>Th</w:t>
      </w:r>
      <w:r w:rsidRPr="00C249F7">
        <w:t xml:space="preserve">e FGs can be “Per </w:t>
      </w:r>
      <w:r>
        <w:t>UE</w:t>
      </w:r>
      <w:r w:rsidRPr="00C249F7">
        <w:t>”</w:t>
      </w:r>
      <w:r>
        <w:t xml:space="preserve"> unless there is a strong justification to support differentiation at the “Per band” level</w:t>
      </w:r>
      <w:r w:rsidRPr="00C249F7">
        <w:t>.</w:t>
      </w:r>
      <w:bookmarkEnd w:id="35"/>
    </w:p>
    <w:p w14:paraId="0E9A71C0" w14:textId="1CF0F8E1" w:rsidR="00455F6F" w:rsidRPr="00455F6F" w:rsidRDefault="008B47FC" w:rsidP="008110BB">
      <w:pPr>
        <w:pStyle w:val="Proposal"/>
        <w:numPr>
          <w:ilvl w:val="0"/>
          <w:numId w:val="28"/>
        </w:numPr>
        <w:rPr>
          <w:rFonts w:ascii="Calibri" w:hAnsi="Calibri" w:cs="Arial"/>
          <w:sz w:val="22"/>
          <w:szCs w:val="22"/>
          <w:lang w:val="x-none"/>
        </w:rPr>
      </w:pPr>
      <w:bookmarkStart w:id="36" w:name="_Toc142516102"/>
      <w:r w:rsidRPr="00455F6F">
        <w:rPr>
          <w:color w:val="7F7F7F" w:themeColor="text1" w:themeTint="80"/>
        </w:rPr>
        <w:t>[</w:t>
      </w:r>
      <w:r w:rsidR="00BE18B9">
        <w:rPr>
          <w:color w:val="7F7F7F" w:themeColor="text1" w:themeTint="80"/>
        </w:rPr>
        <w:t>Rel-18 2-3b pre-requisite for 2-4b?</w:t>
      </w:r>
      <w:r w:rsidRPr="00455F6F">
        <w:rPr>
          <w:color w:val="7F7F7F" w:themeColor="text1" w:themeTint="80"/>
        </w:rPr>
        <w:t xml:space="preserve">]: </w:t>
      </w:r>
      <w:r w:rsidR="000038A6">
        <w:t>Yes, because both features are the same except for the triggering mechanism</w:t>
      </w:r>
      <w:r w:rsidR="00FE375F">
        <w:t xml:space="preserve"> which is configured by the network</w:t>
      </w:r>
      <w:r w:rsidRPr="00C249F7">
        <w:t>.</w:t>
      </w:r>
      <w:bookmarkEnd w:id="36"/>
    </w:p>
    <w:p w14:paraId="44B349CD" w14:textId="192D9C85" w:rsidR="003A55FA" w:rsidRPr="00455F6F" w:rsidRDefault="008B47FC" w:rsidP="00455F6F">
      <w:pPr>
        <w:pStyle w:val="Proposal"/>
        <w:numPr>
          <w:ilvl w:val="0"/>
          <w:numId w:val="28"/>
        </w:numPr>
        <w:rPr>
          <w:rFonts w:ascii="Calibri" w:hAnsi="Calibri" w:cs="Arial"/>
          <w:sz w:val="22"/>
          <w:szCs w:val="22"/>
          <w:lang w:val="x-none"/>
        </w:rPr>
      </w:pPr>
      <w:bookmarkStart w:id="37" w:name="_Toc142516103"/>
      <w:r w:rsidRPr="00455F6F">
        <w:rPr>
          <w:rFonts w:cs="Arial"/>
          <w:color w:val="7F7F7F" w:themeColor="text1" w:themeTint="80"/>
        </w:rPr>
        <w:t>FFS: merge 2-3</w:t>
      </w:r>
      <w:r w:rsidR="00094EA5" w:rsidRPr="00455F6F">
        <w:rPr>
          <w:rFonts w:cs="Arial"/>
          <w:color w:val="7F7F7F" w:themeColor="text1" w:themeTint="80"/>
        </w:rPr>
        <w:t>b</w:t>
      </w:r>
      <w:r w:rsidRPr="00455F6F">
        <w:rPr>
          <w:rFonts w:cs="Arial"/>
          <w:color w:val="7F7F7F" w:themeColor="text1" w:themeTint="80"/>
        </w:rPr>
        <w:t xml:space="preserve"> and 2-4</w:t>
      </w:r>
      <w:r w:rsidR="00094EA5" w:rsidRPr="00455F6F">
        <w:rPr>
          <w:rFonts w:cs="Arial"/>
          <w:color w:val="7F7F7F" w:themeColor="text1" w:themeTint="80"/>
        </w:rPr>
        <w:t>b</w:t>
      </w:r>
      <w:r w:rsidRPr="00455F6F">
        <w:rPr>
          <w:rFonts w:cs="Arial"/>
          <w:color w:val="7F7F7F" w:themeColor="text1" w:themeTint="80"/>
        </w:rPr>
        <w:t xml:space="preserve">: </w:t>
      </w:r>
      <w:r w:rsidRPr="00455F6F">
        <w:rPr>
          <w:rFonts w:cs="Arial"/>
        </w:rPr>
        <w:t>Yes, they can be merged because both features are the same except for the triggering mechanism.</w:t>
      </w:r>
      <w:bookmarkEnd w:id="37"/>
    </w:p>
    <w:p w14:paraId="064883C3" w14:textId="77777777" w:rsidR="00FE375F" w:rsidRPr="00FE375F" w:rsidRDefault="008B47FC" w:rsidP="00FE375F">
      <w:pPr>
        <w:pStyle w:val="Proposal"/>
        <w:numPr>
          <w:ilvl w:val="0"/>
          <w:numId w:val="28"/>
        </w:numPr>
        <w:rPr>
          <w:rFonts w:cs="Arial"/>
          <w:b w:val="0"/>
          <w:bCs w:val="0"/>
        </w:rPr>
      </w:pPr>
      <w:bookmarkStart w:id="38" w:name="_Toc142516104"/>
      <w:r w:rsidRPr="00190145">
        <w:rPr>
          <w:rFonts w:cs="Arial"/>
          <w:color w:val="7F7F7F" w:themeColor="text1" w:themeTint="80"/>
        </w:rPr>
        <w:t xml:space="preserve">[Note: RAN1 kindly asks RAN2 to design signalling such that GSO/NGSO differentiation is possible]: </w:t>
      </w:r>
      <w:r w:rsidRPr="00190145">
        <w:rPr>
          <w:rFonts w:cs="Arial"/>
        </w:rPr>
        <w:t>There is no need to support GSO/NGSO differentiation as GNSS</w:t>
      </w:r>
      <w:r w:rsidR="00094EA5" w:rsidRPr="00190145">
        <w:rPr>
          <w:rFonts w:cs="Arial"/>
          <w:lang w:val="en-US"/>
        </w:rPr>
        <w:t xml:space="preserve"> </w:t>
      </w:r>
      <w:r w:rsidRPr="00190145">
        <w:rPr>
          <w:rFonts w:cs="Arial"/>
        </w:rPr>
        <w:t>reacquisition is applicable to all UEs regardless of constellation type.</w:t>
      </w:r>
      <w:bookmarkEnd w:id="38"/>
      <w:r w:rsidR="00FE375F" w:rsidRPr="00FE375F">
        <w:rPr>
          <w:rFonts w:cs="Arial"/>
          <w:color w:val="7F7F7F" w:themeColor="text1" w:themeTint="80"/>
        </w:rPr>
        <w:t xml:space="preserve"> </w:t>
      </w:r>
    </w:p>
    <w:p w14:paraId="307947EA" w14:textId="77777777" w:rsidR="00201106" w:rsidRPr="00201106" w:rsidRDefault="00FE375F" w:rsidP="0009681D">
      <w:pPr>
        <w:pStyle w:val="Proposal"/>
        <w:numPr>
          <w:ilvl w:val="0"/>
          <w:numId w:val="28"/>
        </w:numPr>
      </w:pPr>
      <w:bookmarkStart w:id="39" w:name="_Toc142516105"/>
      <w:r w:rsidRPr="00B20C2F">
        <w:rPr>
          <w:rFonts w:cs="Arial"/>
          <w:color w:val="7F7F7F" w:themeColor="text1" w:themeTint="80"/>
        </w:rPr>
        <w:t>[</w:t>
      </w:r>
      <w:r w:rsidR="00C67845" w:rsidRPr="00B20C2F">
        <w:rPr>
          <w:rFonts w:cs="Arial"/>
          <w:color w:val="7F7F7F" w:themeColor="text1" w:themeTint="80"/>
        </w:rPr>
        <w:t>Components</w:t>
      </w:r>
      <w:r w:rsidRPr="00B20C2F">
        <w:rPr>
          <w:rFonts w:cs="Arial"/>
          <w:color w:val="7F7F7F" w:themeColor="text1" w:themeTint="80"/>
        </w:rPr>
        <w:t xml:space="preserve">]: </w:t>
      </w:r>
      <w:r w:rsidR="00DD6A3F" w:rsidRPr="00B20C2F">
        <w:rPr>
          <w:rFonts w:cs="Arial"/>
        </w:rPr>
        <w:t>After merging 2-3b and 2-4b, the merged components are</w:t>
      </w:r>
      <w:r w:rsidR="0099352F" w:rsidRPr="00B20C2F">
        <w:rPr>
          <w:rFonts w:cs="Arial"/>
        </w:rPr>
        <w:t>:</w:t>
      </w:r>
      <w:bookmarkEnd w:id="39"/>
    </w:p>
    <w:p w14:paraId="2748F649" w14:textId="433057B2" w:rsidR="00201106" w:rsidRPr="00201106" w:rsidRDefault="0099352F" w:rsidP="0009681D">
      <w:pPr>
        <w:pStyle w:val="Proposal"/>
        <w:numPr>
          <w:ilvl w:val="0"/>
          <w:numId w:val="28"/>
        </w:numPr>
      </w:pPr>
      <w:bookmarkStart w:id="40" w:name="_Toc142516106"/>
      <w:r w:rsidRPr="00B20C2F">
        <w:rPr>
          <w:rFonts w:cs="Arial"/>
          <w:color w:val="000000" w:themeColor="text1"/>
          <w:sz w:val="14"/>
          <w:szCs w:val="14"/>
        </w:rPr>
        <w:t xml:space="preserve">1. UE reports GNSS position fix time duration for measurement </w:t>
      </w:r>
      <w:r w:rsidRPr="00B20C2F">
        <w:rPr>
          <w:rFonts w:cs="Arial"/>
          <w:color w:val="000000" w:themeColor="text1"/>
          <w:sz w:val="14"/>
          <w:szCs w:val="14"/>
          <w:lang w:val="en-US"/>
        </w:rPr>
        <w:t xml:space="preserve">and </w:t>
      </w:r>
      <w:r w:rsidRPr="00B20C2F">
        <w:rPr>
          <w:rFonts w:cs="Arial"/>
          <w:color w:val="FF0000"/>
          <w:sz w:val="14"/>
          <w:szCs w:val="14"/>
          <w:lang w:val="en-US"/>
        </w:rPr>
        <w:t>remaining GNSS</w:t>
      </w:r>
      <w:r w:rsidRPr="00B20C2F">
        <w:rPr>
          <w:rFonts w:cs="Arial"/>
          <w:color w:val="000000" w:themeColor="text1"/>
          <w:sz w:val="14"/>
          <w:szCs w:val="14"/>
          <w:lang w:val="en-US"/>
        </w:rPr>
        <w:t xml:space="preserve"> </w:t>
      </w:r>
      <w:r w:rsidRPr="00B20C2F">
        <w:rPr>
          <w:rFonts w:cs="Arial"/>
          <w:strike/>
          <w:color w:val="FF0000"/>
          <w:sz w:val="14"/>
          <w:szCs w:val="14"/>
          <w:lang w:val="en-US"/>
        </w:rPr>
        <w:t>validation</w:t>
      </w:r>
      <w:r w:rsidRPr="00B20C2F">
        <w:rPr>
          <w:rFonts w:cs="Arial"/>
          <w:color w:val="000000" w:themeColor="text1"/>
          <w:sz w:val="14"/>
          <w:szCs w:val="14"/>
          <w:lang w:val="en-US"/>
        </w:rPr>
        <w:t xml:space="preserve"> </w:t>
      </w:r>
      <w:r w:rsidRPr="00B20C2F">
        <w:rPr>
          <w:rFonts w:cs="Arial"/>
          <w:color w:val="FF0000"/>
          <w:sz w:val="14"/>
          <w:szCs w:val="14"/>
          <w:lang w:val="en-US"/>
        </w:rPr>
        <w:t>validity</w:t>
      </w:r>
      <w:r w:rsidRPr="00B20C2F">
        <w:rPr>
          <w:rFonts w:cs="Arial"/>
          <w:color w:val="000000" w:themeColor="text1"/>
          <w:sz w:val="14"/>
          <w:szCs w:val="14"/>
          <w:lang w:val="en-US"/>
        </w:rPr>
        <w:t xml:space="preserve"> duration</w:t>
      </w:r>
      <w:r w:rsidRPr="00B20C2F">
        <w:rPr>
          <w:rFonts w:cs="Arial"/>
          <w:color w:val="000000" w:themeColor="text1"/>
          <w:sz w:val="14"/>
          <w:szCs w:val="14"/>
        </w:rPr>
        <w:t xml:space="preserve"> at least</w:t>
      </w:r>
      <w:r w:rsidRPr="00B20C2F">
        <w:rPr>
          <w:rFonts w:cs="Arial"/>
          <w:color w:val="000000" w:themeColor="text1"/>
          <w:sz w:val="14"/>
          <w:szCs w:val="14"/>
          <w:lang w:val="en-US"/>
        </w:rPr>
        <w:t xml:space="preserve"> during the initial access stage</w:t>
      </w:r>
      <w:r w:rsidRPr="00B20C2F">
        <w:rPr>
          <w:rFonts w:cs="Arial"/>
          <w:color w:val="000000" w:themeColor="text1"/>
          <w:sz w:val="14"/>
          <w:szCs w:val="14"/>
        </w:rPr>
        <w:t xml:space="preserve"> </w:t>
      </w:r>
      <w:r w:rsidRPr="00B20C2F">
        <w:rPr>
          <w:rFonts w:cs="Arial"/>
          <w:color w:val="000000" w:themeColor="text1"/>
          <w:sz w:val="14"/>
          <w:szCs w:val="14"/>
          <w:highlight w:val="yellow"/>
        </w:rPr>
        <w:t>[</w:t>
      </w:r>
      <w:r w:rsidRPr="00B20C2F">
        <w:rPr>
          <w:rFonts w:cs="Arial"/>
          <w:strike/>
          <w:color w:val="FF0000"/>
          <w:sz w:val="14"/>
          <w:szCs w:val="14"/>
          <w:highlight w:val="yellow"/>
        </w:rPr>
        <w:t>during the initial access stage</w:t>
      </w:r>
      <w:r w:rsidRPr="00B20C2F">
        <w:rPr>
          <w:rFonts w:cs="Arial"/>
          <w:color w:val="000000" w:themeColor="text1"/>
          <w:sz w:val="14"/>
          <w:szCs w:val="14"/>
          <w:highlight w:val="yellow"/>
        </w:rPr>
        <w:t xml:space="preserve"> and in connected mode]</w:t>
      </w:r>
      <w:r w:rsidR="005A0086">
        <w:rPr>
          <w:rFonts w:cs="Arial"/>
          <w:color w:val="000000" w:themeColor="text1"/>
          <w:sz w:val="14"/>
          <w:szCs w:val="14"/>
        </w:rPr>
        <w:t>.</w:t>
      </w:r>
      <w:bookmarkEnd w:id="40"/>
    </w:p>
    <w:p w14:paraId="3812C095" w14:textId="30A116CA" w:rsidR="00201106" w:rsidRPr="00201106" w:rsidRDefault="0099352F" w:rsidP="0009681D">
      <w:pPr>
        <w:pStyle w:val="Proposal"/>
        <w:numPr>
          <w:ilvl w:val="0"/>
          <w:numId w:val="28"/>
        </w:numPr>
      </w:pPr>
      <w:bookmarkStart w:id="41" w:name="_Toc142516107"/>
      <w:r w:rsidRPr="00B20C2F">
        <w:rPr>
          <w:rFonts w:cs="Arial"/>
          <w:color w:val="000000" w:themeColor="text1"/>
          <w:sz w:val="14"/>
          <w:szCs w:val="14"/>
        </w:rPr>
        <w:t xml:space="preserve">2. </w:t>
      </w:r>
      <w:r w:rsidRPr="00B20C2F">
        <w:rPr>
          <w:rFonts w:cs="Arial"/>
          <w:color w:val="FF0000"/>
          <w:sz w:val="14"/>
          <w:szCs w:val="14"/>
          <w:lang w:val="en-US"/>
        </w:rPr>
        <w:t>If</w:t>
      </w:r>
      <w:r w:rsidRPr="00B20C2F">
        <w:rPr>
          <w:rFonts w:cs="Arial"/>
          <w:color w:val="000000" w:themeColor="text1"/>
          <w:sz w:val="14"/>
          <w:szCs w:val="14"/>
          <w:lang w:val="en-US"/>
        </w:rPr>
        <w:t xml:space="preserve"> </w:t>
      </w:r>
      <w:r w:rsidRPr="00B20C2F">
        <w:rPr>
          <w:rFonts w:cs="Arial"/>
          <w:color w:val="000000" w:themeColor="text1"/>
          <w:sz w:val="14"/>
          <w:szCs w:val="14"/>
        </w:rPr>
        <w:t xml:space="preserve">UE receives eNB GNSS measurement trigger </w:t>
      </w:r>
      <w:r w:rsidRPr="00B20C2F">
        <w:rPr>
          <w:rFonts w:cs="Arial"/>
          <w:color w:val="FF0000"/>
          <w:sz w:val="14"/>
          <w:szCs w:val="14"/>
          <w:lang w:val="en-US"/>
        </w:rPr>
        <w:t xml:space="preserve">before expiration of GNSS validity plus extension duration (if configured), </w:t>
      </w:r>
      <w:r w:rsidRPr="00B20C2F">
        <w:rPr>
          <w:rFonts w:cs="Arial"/>
          <w:color w:val="000000" w:themeColor="text1"/>
          <w:sz w:val="14"/>
          <w:szCs w:val="14"/>
        </w:rPr>
        <w:t xml:space="preserve">UE re-acquires GNSS </w:t>
      </w:r>
      <w:r w:rsidRPr="00B20C2F">
        <w:rPr>
          <w:rFonts w:cs="Arial"/>
          <w:color w:val="FF0000"/>
          <w:sz w:val="14"/>
          <w:szCs w:val="14"/>
          <w:lang w:val="en-US"/>
        </w:rPr>
        <w:t>position fix</w:t>
      </w:r>
      <w:r w:rsidRPr="00B20C2F">
        <w:rPr>
          <w:rFonts w:cs="Arial"/>
          <w:color w:val="000000" w:themeColor="text1"/>
          <w:sz w:val="14"/>
          <w:szCs w:val="14"/>
          <w:lang w:val="en-US"/>
        </w:rPr>
        <w:t xml:space="preserve"> </w:t>
      </w:r>
      <w:r w:rsidRPr="00B20C2F">
        <w:rPr>
          <w:rFonts w:cs="Arial"/>
          <w:color w:val="000000" w:themeColor="text1"/>
          <w:sz w:val="14"/>
          <w:szCs w:val="14"/>
        </w:rPr>
        <w:t>in RRC Connected state</w:t>
      </w:r>
      <w:r w:rsidRPr="00B20C2F">
        <w:rPr>
          <w:rFonts w:cs="Arial"/>
          <w:color w:val="000000" w:themeColor="text1"/>
          <w:sz w:val="14"/>
          <w:szCs w:val="14"/>
          <w:lang w:val="en-US"/>
        </w:rPr>
        <w:t xml:space="preserve"> </w:t>
      </w:r>
      <w:r w:rsidRPr="00B20C2F">
        <w:rPr>
          <w:rFonts w:cs="Arial"/>
          <w:color w:val="FF0000"/>
          <w:sz w:val="14"/>
          <w:szCs w:val="14"/>
          <w:lang w:val="en-US"/>
        </w:rPr>
        <w:t>within the configured GNSS measurement gap</w:t>
      </w:r>
      <w:r w:rsidR="005A0086">
        <w:rPr>
          <w:rFonts w:cs="Arial"/>
          <w:color w:val="FF0000"/>
          <w:sz w:val="14"/>
          <w:szCs w:val="14"/>
          <w:lang w:val="en-US"/>
        </w:rPr>
        <w:t>.</w:t>
      </w:r>
      <w:bookmarkEnd w:id="41"/>
    </w:p>
    <w:p w14:paraId="55B58B52" w14:textId="311AC0FA" w:rsidR="00FA21E1" w:rsidRPr="00FA21E1" w:rsidRDefault="0099352F" w:rsidP="0009681D">
      <w:pPr>
        <w:pStyle w:val="Proposal"/>
        <w:numPr>
          <w:ilvl w:val="0"/>
          <w:numId w:val="28"/>
        </w:numPr>
      </w:pPr>
      <w:bookmarkStart w:id="42" w:name="_Toc142516108"/>
      <w:r w:rsidRPr="00B20C2F">
        <w:rPr>
          <w:rFonts w:cs="Arial"/>
          <w:strike/>
          <w:color w:val="FF0000"/>
          <w:sz w:val="14"/>
          <w:szCs w:val="14"/>
        </w:rPr>
        <w:t>3. UE re-acquires GNSS in RRC Connected state</w:t>
      </w:r>
      <w:r w:rsidR="00826984">
        <w:rPr>
          <w:rFonts w:cs="Arial"/>
          <w:strike/>
          <w:color w:val="FF0000"/>
          <w:sz w:val="14"/>
          <w:szCs w:val="14"/>
        </w:rPr>
        <w:t>.</w:t>
      </w:r>
      <w:bookmarkEnd w:id="42"/>
    </w:p>
    <w:p w14:paraId="5227C6AD" w14:textId="09AAFF4F" w:rsidR="00FA21E1" w:rsidRPr="00FA21E1" w:rsidRDefault="0099352F" w:rsidP="0009681D">
      <w:pPr>
        <w:pStyle w:val="Proposal"/>
        <w:numPr>
          <w:ilvl w:val="0"/>
          <w:numId w:val="28"/>
        </w:numPr>
      </w:pPr>
      <w:bookmarkStart w:id="43" w:name="_Toc142516109"/>
      <w:r w:rsidRPr="00B20C2F">
        <w:rPr>
          <w:rFonts w:cs="Arial"/>
          <w:strike/>
          <w:color w:val="FF0000"/>
          <w:sz w:val="14"/>
          <w:szCs w:val="14"/>
        </w:rPr>
        <w:t>4. UE re-acquires GNSS position fix within a configured gap</w:t>
      </w:r>
      <w:r w:rsidR="00826984">
        <w:rPr>
          <w:rFonts w:cs="Arial"/>
          <w:strike/>
          <w:color w:val="FF0000"/>
          <w:sz w:val="14"/>
          <w:szCs w:val="14"/>
        </w:rPr>
        <w:t>.</w:t>
      </w:r>
      <w:bookmarkEnd w:id="43"/>
    </w:p>
    <w:p w14:paraId="48FDE43E" w14:textId="4E438C53" w:rsidR="0099352F" w:rsidRPr="00FA21E1" w:rsidRDefault="0099352F" w:rsidP="00FA21E1">
      <w:pPr>
        <w:pStyle w:val="Proposal"/>
        <w:numPr>
          <w:ilvl w:val="0"/>
          <w:numId w:val="28"/>
        </w:numPr>
      </w:pPr>
      <w:bookmarkStart w:id="44" w:name="_Toc142516110"/>
      <w:r w:rsidRPr="00B20C2F">
        <w:rPr>
          <w:rFonts w:cs="Arial"/>
          <w:color w:val="FF0000"/>
          <w:sz w:val="14"/>
          <w:szCs w:val="14"/>
        </w:rPr>
        <w:t xml:space="preserve">3. </w:t>
      </w:r>
      <w:r w:rsidRPr="00B20C2F">
        <w:rPr>
          <w:rFonts w:cs="Arial"/>
          <w:color w:val="FF0000"/>
          <w:sz w:val="14"/>
          <w:szCs w:val="14"/>
          <w:lang w:val="en-US"/>
        </w:rPr>
        <w:t xml:space="preserve">If </w:t>
      </w:r>
      <w:r w:rsidRPr="00B20C2F">
        <w:rPr>
          <w:rFonts w:cs="Arial"/>
          <w:color w:val="FF0000"/>
          <w:sz w:val="14"/>
          <w:szCs w:val="14"/>
        </w:rPr>
        <w:t xml:space="preserve">UE does not receive eNB GNSS measurement trigger </w:t>
      </w:r>
      <w:r w:rsidRPr="00B20C2F">
        <w:rPr>
          <w:rFonts w:cs="Arial"/>
          <w:color w:val="FF0000"/>
          <w:sz w:val="14"/>
          <w:szCs w:val="14"/>
          <w:lang w:val="en-US"/>
        </w:rPr>
        <w:t xml:space="preserve">before expiration of GNSS validity plus extension duration (if configured), </w:t>
      </w:r>
      <w:r w:rsidRPr="00B20C2F">
        <w:rPr>
          <w:rFonts w:cs="Arial"/>
          <w:color w:val="FF0000"/>
          <w:sz w:val="14"/>
          <w:szCs w:val="14"/>
        </w:rPr>
        <w:t xml:space="preserve">UE re-acquires GNSS </w:t>
      </w:r>
      <w:r w:rsidRPr="00B20C2F">
        <w:rPr>
          <w:rFonts w:cs="Arial"/>
          <w:color w:val="FF0000"/>
          <w:sz w:val="14"/>
          <w:szCs w:val="14"/>
          <w:lang w:val="en-US"/>
        </w:rPr>
        <w:t xml:space="preserve">position fix </w:t>
      </w:r>
      <w:r w:rsidRPr="00B20C2F">
        <w:rPr>
          <w:rFonts w:cs="Arial"/>
          <w:color w:val="FF0000"/>
          <w:sz w:val="14"/>
          <w:szCs w:val="14"/>
        </w:rPr>
        <w:t>in RRC Connected state</w:t>
      </w:r>
      <w:r w:rsidRPr="00B20C2F">
        <w:rPr>
          <w:rFonts w:cs="Arial"/>
          <w:color w:val="FF0000"/>
          <w:sz w:val="14"/>
          <w:szCs w:val="14"/>
          <w:lang w:val="en-US"/>
        </w:rPr>
        <w:t xml:space="preserve"> within the autonomous GNSS measurement gap (if configured).</w:t>
      </w:r>
      <w:bookmarkEnd w:id="44"/>
    </w:p>
    <w:p w14:paraId="3A8EF756" w14:textId="2D9A0A3B" w:rsidR="006A5A46" w:rsidRPr="009F5A11" w:rsidRDefault="00477D15" w:rsidP="006A5A46">
      <w:pPr>
        <w:pStyle w:val="Heading1"/>
      </w:pPr>
      <w:r w:rsidRPr="009F5A11">
        <w:t>3</w:t>
      </w:r>
      <w:r w:rsidR="006A5A46" w:rsidRPr="009F5A11">
        <w:tab/>
        <w:t xml:space="preserve">Conclusion </w:t>
      </w:r>
    </w:p>
    <w:p w14:paraId="19B3680D" w14:textId="77777777" w:rsidR="006A5A46" w:rsidRPr="009F5A11" w:rsidRDefault="006A5A46" w:rsidP="006A5A46">
      <w:pPr>
        <w:pStyle w:val="BodyText"/>
        <w:rPr>
          <w:rFonts w:ascii="Times New Roman" w:hAnsi="Times New Roman"/>
        </w:rPr>
      </w:pPr>
      <w:r w:rsidRPr="009F5A11">
        <w:rPr>
          <w:rFonts w:ascii="Times New Roman" w:hAnsi="Times New Roman"/>
        </w:rPr>
        <w:t>Based on the discussion in the previous section we made the following observations:</w:t>
      </w:r>
    </w:p>
    <w:p w14:paraId="19F9AB93" w14:textId="4EB8D2F5" w:rsidR="007857AD" w:rsidRDefault="006A5A46"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r w:rsidRPr="009F5A11">
        <w:rPr>
          <w:b w:val="0"/>
          <w:bCs/>
        </w:rPr>
        <w:fldChar w:fldCharType="begin"/>
      </w:r>
      <w:r w:rsidRPr="009F5A11">
        <w:rPr>
          <w:bCs/>
        </w:rPr>
        <w:instrText xml:space="preserve"> TOC \f O \n \h \z \t "Observation" \c </w:instrText>
      </w:r>
      <w:r w:rsidRPr="009F5A11">
        <w:rPr>
          <w:b w:val="0"/>
          <w:bCs/>
        </w:rPr>
        <w:fldChar w:fldCharType="separate"/>
      </w:r>
      <w:hyperlink w:anchor="_Toc142516069" w:history="1">
        <w:r w:rsidR="007857AD" w:rsidRPr="00B6473D">
          <w:rPr>
            <w:rStyle w:val="Hyperlink"/>
            <w:noProof/>
          </w:rPr>
          <w:t>Observation 1</w:t>
        </w:r>
        <w:r w:rsidR="007857AD">
          <w:rPr>
            <w:rFonts w:asciiTheme="minorHAnsi" w:eastAsiaTheme="minorEastAsia" w:hAnsiTheme="minorHAnsi" w:cstheme="minorBidi"/>
            <w:b w:val="0"/>
            <w:noProof/>
            <w:sz w:val="22"/>
            <w:szCs w:val="22"/>
            <w:lang w:val="en-SE" w:eastAsia="en-SE"/>
          </w:rPr>
          <w:tab/>
        </w:r>
        <w:r w:rsidR="007857AD" w:rsidRPr="00B6473D">
          <w:rPr>
            <w:rStyle w:val="Hyperlink"/>
            <w:noProof/>
          </w:rPr>
          <w:t>For FG 2-1a (Semi-static HARQ feedback disabling for eMTC CE mode B) and FG 2-1b (Dynamic HARQ feedback disabling for eMTC CE mode B) and the “</w:t>
        </w:r>
        <w:r w:rsidR="007857AD" w:rsidRPr="00B6473D">
          <w:rPr>
            <w:rStyle w:val="Hyperlink"/>
            <w:i/>
            <w:iCs/>
            <w:noProof/>
          </w:rPr>
          <w:t>[Per UE/Per band]</w:t>
        </w:r>
        <w:r w:rsidR="007857AD" w:rsidRPr="00B6473D">
          <w:rPr>
            <w:rStyle w:val="Hyperlink"/>
            <w:noProof/>
          </w:rPr>
          <w:t>”. The FGs can be “Per UE” since the feature is NTN specific.</w:t>
        </w:r>
      </w:hyperlink>
    </w:p>
    <w:p w14:paraId="1A37E785" w14:textId="46485291"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070" w:history="1">
        <w:r w:rsidR="007857AD" w:rsidRPr="00B6473D">
          <w:rPr>
            <w:rStyle w:val="Hyperlink"/>
            <w:noProof/>
          </w:rPr>
          <w:t>Observation 2</w:t>
        </w:r>
        <w:r w:rsidR="007857AD">
          <w:rPr>
            <w:rFonts w:asciiTheme="minorHAnsi" w:eastAsiaTheme="minorEastAsia" w:hAnsiTheme="minorHAnsi" w:cstheme="minorBidi"/>
            <w:b w:val="0"/>
            <w:noProof/>
            <w:sz w:val="22"/>
            <w:szCs w:val="22"/>
            <w:lang w:val="en-SE" w:eastAsia="en-SE"/>
          </w:rPr>
          <w:tab/>
        </w:r>
        <w:r w:rsidR="007857AD" w:rsidRPr="00B6473D">
          <w:rPr>
            <w:rStyle w:val="Hyperlink"/>
            <w:noProof/>
          </w:rPr>
          <w:t>For FG 2-1a (Semi-static HARQ feedback disabling for eMTC CE mode B) and FG 2-1b (Dynamic HARQ feedback disabling for eMTC CE mode B) and the “</w:t>
        </w:r>
        <w:r w:rsidR="007857AD" w:rsidRPr="00B6473D">
          <w:rPr>
            <w:rStyle w:val="Hyperlink"/>
            <w:i/>
            <w:iCs/>
            <w:noProof/>
          </w:rPr>
          <w:t>FFS: whether to merge 2-1a and 2-1b</w:t>
        </w:r>
        <w:r w:rsidR="007857AD" w:rsidRPr="00B6473D">
          <w:rPr>
            <w:rStyle w:val="Hyperlink"/>
            <w:noProof/>
          </w:rPr>
          <w:t>”. In our view the semi-static and dynamic solution can remain decoupled as separate FGs.</w:t>
        </w:r>
      </w:hyperlink>
    </w:p>
    <w:p w14:paraId="6DB986DF" w14:textId="57DB7811"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071" w:history="1">
        <w:r w:rsidR="007857AD" w:rsidRPr="00B6473D">
          <w:rPr>
            <w:rStyle w:val="Hyperlink"/>
            <w:noProof/>
          </w:rPr>
          <w:t>Observation 3</w:t>
        </w:r>
        <w:r w:rsidR="007857AD">
          <w:rPr>
            <w:rFonts w:asciiTheme="minorHAnsi" w:eastAsiaTheme="minorEastAsia" w:hAnsiTheme="minorHAnsi" w:cstheme="minorBidi"/>
            <w:b w:val="0"/>
            <w:noProof/>
            <w:sz w:val="22"/>
            <w:szCs w:val="22"/>
            <w:lang w:val="en-SE" w:eastAsia="en-SE"/>
          </w:rPr>
          <w:tab/>
        </w:r>
        <w:r w:rsidR="007857AD" w:rsidRPr="00B6473D">
          <w:rPr>
            <w:rStyle w:val="Hyperlink"/>
            <w:noProof/>
          </w:rPr>
          <w:t>For FG 2-1a (Semi-static HARQ feedback disabling for eMTC CE mode B) and FG 2-1b (Dynamic HARQ feedback disabling for eMTC CE mode B) and the “</w:t>
        </w:r>
        <w:r w:rsidR="007857AD" w:rsidRPr="00B6473D">
          <w:rPr>
            <w:rStyle w:val="Hyperlink"/>
            <w:i/>
            <w:iCs/>
            <w:noProof/>
          </w:rPr>
          <w:t>FFS: whether to have a separate FG for the combination of FGs 2-1a and 2-1b</w:t>
        </w:r>
        <w:r w:rsidR="007857AD" w:rsidRPr="00B6473D">
          <w:rPr>
            <w:rStyle w:val="Hyperlink"/>
            <w:noProof/>
          </w:rPr>
          <w:t>”. In our view there is no need to have “</w:t>
        </w:r>
        <w:r w:rsidR="007857AD" w:rsidRPr="00B6473D">
          <w:rPr>
            <w:rStyle w:val="Hyperlink"/>
            <w:i/>
            <w:iCs/>
            <w:noProof/>
          </w:rPr>
          <w:t>a separate FG for the combination of FGs 2-1a and 2-1b</w:t>
        </w:r>
        <w:r w:rsidR="007857AD" w:rsidRPr="00B6473D">
          <w:rPr>
            <w:rStyle w:val="Hyperlink"/>
            <w:noProof/>
          </w:rPr>
          <w:t>” since FG 2-b covers both “</w:t>
        </w:r>
        <w:r w:rsidR="007857AD" w:rsidRPr="00B6473D">
          <w:rPr>
            <w:rStyle w:val="Hyperlink"/>
            <w:i/>
            <w:iCs/>
            <w:noProof/>
          </w:rPr>
          <w:t>DCI indication to directly indicate / override RRC configuration for disabling HARQ feedback</w:t>
        </w:r>
        <w:r w:rsidR="007857AD" w:rsidRPr="00B6473D">
          <w:rPr>
            <w:rStyle w:val="Hyperlink"/>
            <w:noProof/>
          </w:rPr>
          <w:t>”. Thus, if FG 2-1a and FG 2-1b are both configured, the latter (i.e., FG 2-1b) would follow the Rel-18 procedures in the technical specifications to act as a “</w:t>
        </w:r>
        <w:r w:rsidR="007857AD" w:rsidRPr="00B6473D">
          <w:rPr>
            <w:rStyle w:val="Hyperlink"/>
            <w:i/>
            <w:iCs/>
            <w:noProof/>
          </w:rPr>
          <w:t>DCI indication to override RRC configuration</w:t>
        </w:r>
        <w:r w:rsidR="007857AD" w:rsidRPr="00B6473D">
          <w:rPr>
            <w:rStyle w:val="Hyperlink"/>
            <w:noProof/>
          </w:rPr>
          <w:t>”.</w:t>
        </w:r>
      </w:hyperlink>
    </w:p>
    <w:p w14:paraId="017803A4" w14:textId="455EFDDB"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072" w:history="1">
        <w:r w:rsidR="007857AD" w:rsidRPr="00B6473D">
          <w:rPr>
            <w:rStyle w:val="Hyperlink"/>
            <w:noProof/>
          </w:rPr>
          <w:t>Observation 4</w:t>
        </w:r>
        <w:r w:rsidR="007857AD">
          <w:rPr>
            <w:rFonts w:asciiTheme="minorHAnsi" w:eastAsiaTheme="minorEastAsia" w:hAnsiTheme="minorHAnsi" w:cstheme="minorBidi"/>
            <w:b w:val="0"/>
            <w:noProof/>
            <w:sz w:val="22"/>
            <w:szCs w:val="22"/>
            <w:lang w:val="en-SE" w:eastAsia="en-SE"/>
          </w:rPr>
          <w:tab/>
        </w:r>
        <w:r w:rsidR="007857AD" w:rsidRPr="00B6473D">
          <w:rPr>
            <w:rStyle w:val="Hyperlink"/>
            <w:noProof/>
          </w:rPr>
          <w:t>For FG 2-1a (Semi-static HARQ feedback disabling for eMTC CE mode B) and FG 2-1b (Dynamic HARQ feedback disabling for eMTC CE mode B) and “</w:t>
        </w:r>
        <w:r w:rsidR="007857AD" w:rsidRPr="00B6473D">
          <w:rPr>
            <w:rStyle w:val="Hyperlink"/>
            <w:i/>
            <w:iCs/>
            <w:noProof/>
          </w:rPr>
          <w:t>[Note: RAN1 kindly asks RAN2 to design signalling such that GSO/NGSO differentiation is possible]</w:t>
        </w:r>
        <w:r w:rsidR="007857AD" w:rsidRPr="00B6473D">
          <w:rPr>
            <w:rStyle w:val="Hyperlink"/>
            <w:noProof/>
          </w:rPr>
          <w:t>”. In our view, since the feature has been equipped with the ability of Enabling/Disabling HARQ feedback using a semi-statically based switching or a dynamic-based switching or a combination of both, then the motivation of decoupling the feature per satellite orbit in principle does not seem to be that relevant (i.e., the trade-off between Enabling/Disabling for a given satellite orbit can be achieved through the Enabling/Disabling switching solutions rather than through introducing additional signalling for allowing or not the use of disabling HARQ feedback for a given satellite orbit).</w:t>
        </w:r>
      </w:hyperlink>
    </w:p>
    <w:p w14:paraId="7B63E14A" w14:textId="743049F8" w:rsidR="006A5A46" w:rsidRPr="009F5A11" w:rsidRDefault="006A5A46" w:rsidP="006A5A46">
      <w:pPr>
        <w:pStyle w:val="BodyText"/>
        <w:rPr>
          <w:b/>
          <w:bCs/>
        </w:rPr>
      </w:pPr>
      <w:r w:rsidRPr="009F5A11">
        <w:rPr>
          <w:b/>
          <w:bCs/>
        </w:rPr>
        <w:fldChar w:fldCharType="end"/>
      </w:r>
    </w:p>
    <w:p w14:paraId="41C6DDFA" w14:textId="77777777" w:rsidR="006A5A46" w:rsidRPr="009F5A11" w:rsidRDefault="006A5A46" w:rsidP="006A5A46">
      <w:pPr>
        <w:pStyle w:val="BodyText"/>
        <w:rPr>
          <w:rFonts w:ascii="Times New Roman" w:hAnsi="Times New Roman"/>
        </w:rPr>
      </w:pPr>
      <w:r w:rsidRPr="009F5A11">
        <w:rPr>
          <w:rFonts w:ascii="Times New Roman" w:hAnsi="Times New Roman"/>
        </w:rPr>
        <w:lastRenderedPageBreak/>
        <w:t>Based on the discussion in the previous sections we propose the following:</w:t>
      </w:r>
    </w:p>
    <w:p w14:paraId="053E90AC" w14:textId="77777777" w:rsidR="006A5A46" w:rsidRPr="009F5A11" w:rsidRDefault="006A5A46" w:rsidP="006A5A46">
      <w:pPr>
        <w:pStyle w:val="BodyText"/>
        <w:rPr>
          <w:rFonts w:ascii="Times New Roman" w:hAnsi="Times New Roman"/>
        </w:rPr>
      </w:pPr>
    </w:p>
    <w:p w14:paraId="38D6EFCD" w14:textId="676A7D8A" w:rsidR="007857AD" w:rsidRDefault="006A5A46"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r w:rsidRPr="009F5A11">
        <w:rPr>
          <w:b w:val="0"/>
          <w:bCs/>
          <w:lang w:val="en-US"/>
        </w:rPr>
        <w:fldChar w:fldCharType="begin"/>
      </w:r>
      <w:r w:rsidRPr="009F5A11">
        <w:rPr>
          <w:b w:val="0"/>
          <w:bCs/>
          <w:lang w:val="en-US"/>
        </w:rPr>
        <w:instrText xml:space="preserve"> TOC \n \h \z \t "Proposal" \c </w:instrText>
      </w:r>
      <w:r w:rsidRPr="009F5A11">
        <w:rPr>
          <w:b w:val="0"/>
          <w:bCs/>
          <w:lang w:val="en-US"/>
        </w:rPr>
        <w:fldChar w:fldCharType="separate"/>
      </w:r>
      <w:hyperlink w:anchor="_Toc142516075" w:history="1">
        <w:r w:rsidR="007857AD" w:rsidRPr="005C75B3">
          <w:rPr>
            <w:rStyle w:val="Hyperlink"/>
            <w:noProof/>
          </w:rPr>
          <w:t>Proposal 1</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For the comebacks on FG 2-1a (Semi-static HARQ feedback disabling for eMTC CE mode B) and FG 2-1b (Dynamic HARQ feedback disabling for eMTC CE mode B):</w:t>
        </w:r>
      </w:hyperlink>
    </w:p>
    <w:p w14:paraId="28BA5CC6" w14:textId="09515874"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76"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[Per UE/Per band]: The FGs can be “Per UE” since the feature is NTN specific.</w:t>
        </w:r>
      </w:hyperlink>
    </w:p>
    <w:p w14:paraId="1085CE7B" w14:textId="737932E5"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77"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FFS: whether to merge 2-1a and 2-1b: No merging of 2-1a and 2-1b, the semi-static and dynamic solution can remain decoupled as separate FGs.</w:t>
        </w:r>
      </w:hyperlink>
    </w:p>
    <w:p w14:paraId="784F0126" w14:textId="719E77DE"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78"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 xml:space="preserve">FFS: whether to have a separate FG for the combination of FGs 2-1a and 2-1b: There is no need to have a separate FG, because if FG 2-1a and FG 2-1b are both configured, the latter (i.e., FG 2-1b, which encompasses </w:t>
        </w:r>
        <w:r w:rsidR="007857AD" w:rsidRPr="005C75B3">
          <w:rPr>
            <w:rStyle w:val="Hyperlink"/>
            <w:i/>
            <w:iCs/>
            <w:noProof/>
          </w:rPr>
          <w:t>directly indicate / override RRC configuration</w:t>
        </w:r>
        <w:r w:rsidR="007857AD" w:rsidRPr="005C75B3">
          <w:rPr>
            <w:rStyle w:val="Hyperlink"/>
            <w:noProof/>
          </w:rPr>
          <w:t>) would follow the Rel-18 procedures in the technical specifications acting as a DCI solution to “Override RRC configuration,” otherwise (i.e., when only “FG 2-1b” is configured) it will act as “DCI direct indication”.</w:t>
        </w:r>
      </w:hyperlink>
    </w:p>
    <w:p w14:paraId="09EBFF0D" w14:textId="562C766D"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79"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[Note: RAN1 kindly asks RAN2 to design signalling such that GSO/NGSO differentiation is possible]: No signalling for GSO/NGSO differentiation seems to be needed.  Allowing or not “disabling HARQ feedback” should be done through the introduced Enabling/Disabling switching solutions rather than through introducing additional signalling for allowing or not the use of disabling HARQ feedback for a given satellite orbit.</w:t>
        </w:r>
      </w:hyperlink>
    </w:p>
    <w:p w14:paraId="3DA44D18" w14:textId="508FE9A9"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080" w:history="1">
        <w:r w:rsidR="007857AD" w:rsidRPr="005C75B3">
          <w:rPr>
            <w:rStyle w:val="Hyperlink"/>
            <w:noProof/>
          </w:rPr>
          <w:t>Proposal 2</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For the comebacks on FG 2-1d (Semi-static HARQ feedback disabling for eMTC CE mode A) and FG 2-2 (Semi-static HARQ feedback disabling for SPS PDSCH for eMTC CE Mode A):</w:t>
        </w:r>
      </w:hyperlink>
    </w:p>
    <w:p w14:paraId="632E7479" w14:textId="794094FF"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1"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[Per UE/Per band]: The FGs can be “Per UE” since the feature is NTN specific.</w:t>
        </w:r>
      </w:hyperlink>
    </w:p>
    <w:p w14:paraId="08372F3C" w14:textId="60F53C2F"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2"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FFS: whether to merge 2-1d and 2-2: No merging of 2-1d and 2-2, the semi-static solution without and with SPS can remain decoupled as separate FGs.</w:t>
        </w:r>
      </w:hyperlink>
    </w:p>
    <w:p w14:paraId="481BCC24" w14:textId="573F30FF"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3"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[Note: RAN1 kindly asks RAN2 to design signalling such that GSO/NGSO differentiation is possible]: No signalling for GSO/NGSO differentiation seems to be needed.  Allowing or not “disabling HARQ feedback” should be done through the introduced Enabling/Disabling switching solutions rather than through introducing additional signalling for allowing or not the use of disabling HARQ feedback for a given satellite orbit.</w:t>
        </w:r>
      </w:hyperlink>
    </w:p>
    <w:p w14:paraId="6D735585" w14:textId="0B7F92CF"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084" w:history="1">
        <w:r w:rsidR="007857AD" w:rsidRPr="005C75B3">
          <w:rPr>
            <w:rStyle w:val="Hyperlink"/>
            <w:noProof/>
          </w:rPr>
          <w:t>Proposal 3</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For the comebacks on FG 2-1e (Semi-static HARQ feedback disabling for NB-IoT) and FG 2-1f (Dynamic HARQ feedback disabling for NB-IoT):</w:t>
        </w:r>
      </w:hyperlink>
    </w:p>
    <w:p w14:paraId="7CA4C45A" w14:textId="1DD2FB6C"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5"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[Per UE/Per band]: The FGs can be “Per band” since the feature is NTN specific.</w:t>
        </w:r>
      </w:hyperlink>
    </w:p>
    <w:p w14:paraId="580DA668" w14:textId="35DCAE9A"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6"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FFS: whether to merge 2-1f and 2-1e: No merging of 2-1f and 2-1e, the semi-static and dynamic solution can remain decoupled as separate FGs.</w:t>
        </w:r>
      </w:hyperlink>
    </w:p>
    <w:p w14:paraId="1EB5CB69" w14:textId="5501091D"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7"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 xml:space="preserve">FFS: whether to have a separate FG for the combination of FGs 2-1e and 2-1f: There is no need to have a separate FG, because if FG 2-1e and FG 2-1f are both configured, the latter (i.e., FG 2-1f, which encompasses </w:t>
        </w:r>
        <w:r w:rsidR="007857AD" w:rsidRPr="005C75B3">
          <w:rPr>
            <w:rStyle w:val="Hyperlink"/>
            <w:i/>
            <w:iCs/>
            <w:noProof/>
          </w:rPr>
          <w:t>directly indicate / override RRC configuration</w:t>
        </w:r>
        <w:r w:rsidR="007857AD" w:rsidRPr="005C75B3">
          <w:rPr>
            <w:rStyle w:val="Hyperlink"/>
            <w:noProof/>
          </w:rPr>
          <w:t>) would follow the Rel-18 procedures in the technical specifications acting as a DCI solution to “Override RRC configuration,” otherwise (i.e., when only “FG 2-1f” is configured) it will act as “DCI direct indication”.</w:t>
        </w:r>
      </w:hyperlink>
    </w:p>
    <w:p w14:paraId="3F4936A3" w14:textId="3738642B"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88"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[Note: RAN1 kindly asks RAN2 to design signalling such that GSO/NGSO differentiation is possible]: No signalling for GSO/NGSO differentiation seems to be needed.  Allowing or not disabling HARQ feedback should be done through the introduced Enabling/Disabling switching solutions rather than through introducing additional signalling for allowing or not the use of disabling HARQ feedback for a given satellite orbit.</w:t>
        </w:r>
      </w:hyperlink>
    </w:p>
    <w:p w14:paraId="76C1ED98" w14:textId="64B12251"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089" w:history="1">
        <w:r w:rsidR="007857AD" w:rsidRPr="005C75B3">
          <w:rPr>
            <w:rStyle w:val="Hyperlink"/>
            <w:noProof/>
          </w:rPr>
          <w:t>Proposal 4</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For the comebacks on FG 2-3a and FG 2-4a:</w:t>
        </w:r>
      </w:hyperlink>
    </w:p>
    <w:p w14:paraId="08C4CD05" w14:textId="5F16F8A5"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0" w:history="1">
        <w:r w:rsidR="007857AD" w:rsidRPr="005C75B3">
          <w:rPr>
            <w:rStyle w:val="Hyperlink"/>
            <w:rFonts w:ascii="Symbol" w:hAnsi="Symbol" w:cs="Arial"/>
            <w:noProof/>
            <w:lang w:val="x-none"/>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[Per UE/Per band]: The FGs can be “Per UE” unless there is a strong justification to support differentiation at the “Per band” level.</w:t>
        </w:r>
      </w:hyperlink>
    </w:p>
    <w:p w14:paraId="00F9E268" w14:textId="348CC942"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1" w:history="1">
        <w:r w:rsidR="007857AD" w:rsidRPr="005C75B3">
          <w:rPr>
            <w:rStyle w:val="Hyperlink"/>
            <w:rFonts w:ascii="Symbol" w:hAnsi="Symbol" w:cs="Arial"/>
            <w:noProof/>
            <w:lang w:val="x-none"/>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[Rel-18 2-3a pre-requisite for 2-4a?]: Yes, because both features are the same except for the triggering mechanism which is configured by the network.</w:t>
        </w:r>
      </w:hyperlink>
    </w:p>
    <w:p w14:paraId="0D6F5BFE" w14:textId="78AB88CA"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2" w:history="1">
        <w:r w:rsidR="007857AD" w:rsidRPr="005C75B3">
          <w:rPr>
            <w:rStyle w:val="Hyperlink"/>
            <w:rFonts w:ascii="Symbol" w:hAnsi="Symbol" w:cs="Arial"/>
            <w:noProof/>
            <w:lang w:val="x-none"/>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FFS: merge 2-3a and 2-4a: Yes, they can be merged because both features are the same except for the triggering mechanism.</w:t>
        </w:r>
      </w:hyperlink>
    </w:p>
    <w:p w14:paraId="0428D933" w14:textId="3F6BAE09"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3" w:history="1">
        <w:r w:rsidR="007857AD" w:rsidRPr="005C75B3">
          <w:rPr>
            <w:rStyle w:val="Hyperlink"/>
            <w:rFonts w:ascii="Symbol" w:hAnsi="Symbol" w:cs="Aria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[Note: RAN1 kindly asks RAN2 to design signalling such that GSO/NGSO differentiation is possible]: There is no need to support GSO/NGSO differentiation as GNSS</w:t>
        </w:r>
        <w:r w:rsidR="007857AD" w:rsidRPr="005C75B3">
          <w:rPr>
            <w:rStyle w:val="Hyperlink"/>
            <w:rFonts w:cs="Arial"/>
            <w:noProof/>
            <w:lang w:val="en-US"/>
          </w:rPr>
          <w:t xml:space="preserve"> </w:t>
        </w:r>
        <w:r w:rsidR="007857AD" w:rsidRPr="005C75B3">
          <w:rPr>
            <w:rStyle w:val="Hyperlink"/>
            <w:rFonts w:cs="Arial"/>
            <w:noProof/>
          </w:rPr>
          <w:t>reacquisition is applicable to all UEs regardless of constellation type.</w:t>
        </w:r>
      </w:hyperlink>
    </w:p>
    <w:p w14:paraId="2E2121CD" w14:textId="24C7EBA2"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4"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[Components]: After merging 2-3a and 2-4a, the merged components are:</w:t>
        </w:r>
      </w:hyperlink>
    </w:p>
    <w:p w14:paraId="481A945F" w14:textId="4830E29A"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5"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 xml:space="preserve">1. UE reports GNSS position fix time duration for measurement </w:t>
        </w:r>
        <w:r w:rsidR="007857AD" w:rsidRPr="005C75B3">
          <w:rPr>
            <w:rStyle w:val="Hyperlink"/>
            <w:rFonts w:cs="Arial"/>
            <w:noProof/>
            <w:lang w:val="en-US"/>
          </w:rPr>
          <w:t xml:space="preserve">and remaining GNSS </w:t>
        </w:r>
        <w:r w:rsidR="007857AD" w:rsidRPr="005C75B3">
          <w:rPr>
            <w:rStyle w:val="Hyperlink"/>
            <w:rFonts w:cs="Arial"/>
            <w:strike/>
            <w:noProof/>
            <w:lang w:val="en-US"/>
          </w:rPr>
          <w:t>validation</w:t>
        </w:r>
        <w:r w:rsidR="007857AD" w:rsidRPr="005C75B3">
          <w:rPr>
            <w:rStyle w:val="Hyperlink"/>
            <w:rFonts w:cs="Arial"/>
            <w:noProof/>
            <w:lang w:val="en-US"/>
          </w:rPr>
          <w:t xml:space="preserve"> validity duration</w:t>
        </w:r>
        <w:r w:rsidR="007857AD" w:rsidRPr="005C75B3">
          <w:rPr>
            <w:rStyle w:val="Hyperlink"/>
            <w:rFonts w:cs="Arial"/>
            <w:noProof/>
          </w:rPr>
          <w:t xml:space="preserve"> at least</w:t>
        </w:r>
        <w:r w:rsidR="007857AD" w:rsidRPr="005C75B3">
          <w:rPr>
            <w:rStyle w:val="Hyperlink"/>
            <w:rFonts w:cs="Arial"/>
            <w:noProof/>
            <w:lang w:val="en-US"/>
          </w:rPr>
          <w:t xml:space="preserve"> during the initial access stage</w:t>
        </w:r>
        <w:r w:rsidR="007857AD" w:rsidRPr="005C75B3">
          <w:rPr>
            <w:rStyle w:val="Hyperlink"/>
            <w:rFonts w:cs="Arial"/>
            <w:noProof/>
          </w:rPr>
          <w:t xml:space="preserve"> </w:t>
        </w:r>
        <w:r w:rsidR="007857AD" w:rsidRPr="005C75B3">
          <w:rPr>
            <w:rStyle w:val="Hyperlink"/>
            <w:rFonts w:cs="Arial"/>
            <w:noProof/>
            <w:highlight w:val="yellow"/>
          </w:rPr>
          <w:t>[</w:t>
        </w:r>
        <w:r w:rsidR="007857AD" w:rsidRPr="005C75B3">
          <w:rPr>
            <w:rStyle w:val="Hyperlink"/>
            <w:rFonts w:cs="Arial"/>
            <w:strike/>
            <w:noProof/>
            <w:highlight w:val="yellow"/>
          </w:rPr>
          <w:t>during the initial access stage</w:t>
        </w:r>
        <w:r w:rsidR="007857AD" w:rsidRPr="005C75B3">
          <w:rPr>
            <w:rStyle w:val="Hyperlink"/>
            <w:rFonts w:cs="Arial"/>
            <w:noProof/>
            <w:highlight w:val="yellow"/>
          </w:rPr>
          <w:t xml:space="preserve"> and in connected mode]</w:t>
        </w:r>
        <w:r w:rsidR="007857AD" w:rsidRPr="005C75B3">
          <w:rPr>
            <w:rStyle w:val="Hyperlink"/>
            <w:rFonts w:cs="Arial"/>
            <w:noProof/>
          </w:rPr>
          <w:t>.</w:t>
        </w:r>
      </w:hyperlink>
    </w:p>
    <w:p w14:paraId="3EBAC901" w14:textId="31818618"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6"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 xml:space="preserve">2. </w:t>
        </w:r>
        <w:r w:rsidR="007857AD" w:rsidRPr="005C75B3">
          <w:rPr>
            <w:rStyle w:val="Hyperlink"/>
            <w:rFonts w:cs="Arial"/>
            <w:noProof/>
            <w:lang w:val="en-US"/>
          </w:rPr>
          <w:t xml:space="preserve">If </w:t>
        </w:r>
        <w:r w:rsidR="007857AD" w:rsidRPr="005C75B3">
          <w:rPr>
            <w:rStyle w:val="Hyperlink"/>
            <w:rFonts w:cs="Arial"/>
            <w:noProof/>
          </w:rPr>
          <w:t xml:space="preserve">UE receives eNB GNSS measurement trigger </w:t>
        </w:r>
        <w:r w:rsidR="007857AD" w:rsidRPr="005C75B3">
          <w:rPr>
            <w:rStyle w:val="Hyperlink"/>
            <w:rFonts w:cs="Arial"/>
            <w:noProof/>
            <w:lang w:val="en-US"/>
          </w:rPr>
          <w:t xml:space="preserve">before expiration of GNSS validity plus extension duration (if configured), </w:t>
        </w:r>
        <w:r w:rsidR="007857AD" w:rsidRPr="005C75B3">
          <w:rPr>
            <w:rStyle w:val="Hyperlink"/>
            <w:rFonts w:cs="Arial"/>
            <w:noProof/>
          </w:rPr>
          <w:t xml:space="preserve">UE re-acquires GNSS </w:t>
        </w:r>
        <w:r w:rsidR="007857AD" w:rsidRPr="005C75B3">
          <w:rPr>
            <w:rStyle w:val="Hyperlink"/>
            <w:rFonts w:cs="Arial"/>
            <w:noProof/>
            <w:lang w:val="en-US"/>
          </w:rPr>
          <w:t xml:space="preserve">position fix </w:t>
        </w:r>
        <w:r w:rsidR="007857AD" w:rsidRPr="005C75B3">
          <w:rPr>
            <w:rStyle w:val="Hyperlink"/>
            <w:rFonts w:cs="Arial"/>
            <w:noProof/>
          </w:rPr>
          <w:t>in RRC Connected state</w:t>
        </w:r>
        <w:r w:rsidR="007857AD" w:rsidRPr="005C75B3">
          <w:rPr>
            <w:rStyle w:val="Hyperlink"/>
            <w:rFonts w:cs="Arial"/>
            <w:noProof/>
            <w:lang w:val="en-US"/>
          </w:rPr>
          <w:t xml:space="preserve"> within the configured GNSS measurement gap.</w:t>
        </w:r>
      </w:hyperlink>
    </w:p>
    <w:p w14:paraId="1EBE0E45" w14:textId="59EFBC63"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7"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strike/>
            <w:noProof/>
          </w:rPr>
          <w:t>3. UE re-acquires GNSS in RRC Connected state.</w:t>
        </w:r>
      </w:hyperlink>
    </w:p>
    <w:p w14:paraId="7C363DE9" w14:textId="70F86B76"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8"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strike/>
            <w:noProof/>
          </w:rPr>
          <w:t>4. UE re-acquires GNSS position fix within a configured gap.</w:t>
        </w:r>
      </w:hyperlink>
    </w:p>
    <w:p w14:paraId="47F21379" w14:textId="6E6BA60D"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099"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 xml:space="preserve">3. </w:t>
        </w:r>
        <w:r w:rsidR="007857AD" w:rsidRPr="005C75B3">
          <w:rPr>
            <w:rStyle w:val="Hyperlink"/>
            <w:rFonts w:cs="Arial"/>
            <w:noProof/>
            <w:lang w:val="en-US"/>
          </w:rPr>
          <w:t xml:space="preserve">If </w:t>
        </w:r>
        <w:r w:rsidR="007857AD" w:rsidRPr="005C75B3">
          <w:rPr>
            <w:rStyle w:val="Hyperlink"/>
            <w:rFonts w:cs="Arial"/>
            <w:noProof/>
          </w:rPr>
          <w:t xml:space="preserve">UE does not receive eNB GNSS measurement trigger </w:t>
        </w:r>
        <w:r w:rsidR="007857AD" w:rsidRPr="005C75B3">
          <w:rPr>
            <w:rStyle w:val="Hyperlink"/>
            <w:rFonts w:cs="Arial"/>
            <w:noProof/>
            <w:lang w:val="en-US"/>
          </w:rPr>
          <w:t xml:space="preserve">before expiration of GNSS validity plus extension duration (if configured), </w:t>
        </w:r>
        <w:r w:rsidR="007857AD" w:rsidRPr="005C75B3">
          <w:rPr>
            <w:rStyle w:val="Hyperlink"/>
            <w:rFonts w:cs="Arial"/>
            <w:noProof/>
          </w:rPr>
          <w:t xml:space="preserve">UE re-acquires GNSS </w:t>
        </w:r>
        <w:r w:rsidR="007857AD" w:rsidRPr="005C75B3">
          <w:rPr>
            <w:rStyle w:val="Hyperlink"/>
            <w:rFonts w:cs="Arial"/>
            <w:noProof/>
            <w:lang w:val="en-US"/>
          </w:rPr>
          <w:t xml:space="preserve">position fix </w:t>
        </w:r>
        <w:r w:rsidR="007857AD" w:rsidRPr="005C75B3">
          <w:rPr>
            <w:rStyle w:val="Hyperlink"/>
            <w:rFonts w:cs="Arial"/>
            <w:noProof/>
          </w:rPr>
          <w:t>in RRC Connected state</w:t>
        </w:r>
        <w:r w:rsidR="007857AD" w:rsidRPr="005C75B3">
          <w:rPr>
            <w:rStyle w:val="Hyperlink"/>
            <w:rFonts w:cs="Arial"/>
            <w:noProof/>
            <w:lang w:val="en-US"/>
          </w:rPr>
          <w:t xml:space="preserve"> within the autonomous GNSS measurement gap (if configured).</w:t>
        </w:r>
      </w:hyperlink>
    </w:p>
    <w:p w14:paraId="2CE1DE4D" w14:textId="2A30DD5E" w:rsidR="007857AD" w:rsidRDefault="005562E1" w:rsidP="007857AD">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2516100" w:history="1">
        <w:r w:rsidR="007857AD" w:rsidRPr="005C75B3">
          <w:rPr>
            <w:rStyle w:val="Hyperlink"/>
            <w:noProof/>
          </w:rPr>
          <w:t>Proposal 5</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For the comebacks on FG 2-3b and FG 2-4b:</w:t>
        </w:r>
      </w:hyperlink>
    </w:p>
    <w:p w14:paraId="701A058A" w14:textId="04E5EE2C"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1" w:history="1">
        <w:r w:rsidR="007857AD" w:rsidRPr="005C75B3">
          <w:rPr>
            <w:rStyle w:val="Hyperlink"/>
            <w:rFonts w:ascii="Symbol" w:hAnsi="Symbol" w:cs="Arial"/>
            <w:noProof/>
            <w:lang w:val="x-none"/>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[Per UE/Per band]: The FGs can be “Per UE” unless there is a strong justification to support differentiation at the “Per band” level.</w:t>
        </w:r>
      </w:hyperlink>
    </w:p>
    <w:p w14:paraId="3153699B" w14:textId="777E14AF"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2" w:history="1">
        <w:r w:rsidR="007857AD" w:rsidRPr="005C75B3">
          <w:rPr>
            <w:rStyle w:val="Hyperlink"/>
            <w:rFonts w:ascii="Symbol" w:hAnsi="Symbol" w:cs="Arial"/>
            <w:noProof/>
            <w:lang w:val="x-none"/>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noProof/>
          </w:rPr>
          <w:t>[Rel-18 2-3b pre-requisite for 2-4b?]: Yes, because both features are the same except for the triggering mechanism which is configured by the network.</w:t>
        </w:r>
      </w:hyperlink>
    </w:p>
    <w:p w14:paraId="68073D7E" w14:textId="1EE11EC3"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3" w:history="1">
        <w:r w:rsidR="007857AD" w:rsidRPr="005C75B3">
          <w:rPr>
            <w:rStyle w:val="Hyperlink"/>
            <w:rFonts w:ascii="Symbol" w:hAnsi="Symbol" w:cs="Arial"/>
            <w:noProof/>
            <w:lang w:val="x-none"/>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FFS: merge 2-3b and 2-4b: Yes, they can be merged because both features are the same except for the triggering mechanism.</w:t>
        </w:r>
      </w:hyperlink>
    </w:p>
    <w:p w14:paraId="78CEF0F9" w14:textId="08B7C2C7"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4" w:history="1">
        <w:r w:rsidR="007857AD" w:rsidRPr="005C75B3">
          <w:rPr>
            <w:rStyle w:val="Hyperlink"/>
            <w:rFonts w:ascii="Symbol" w:hAnsi="Symbol" w:cs="Aria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[Note: RAN1 kindly asks RAN2 to design signalling such that GSO/NGSO differentiation is possible]: There is no need to support GSO/NGSO differentiation as GNSS</w:t>
        </w:r>
        <w:r w:rsidR="007857AD" w:rsidRPr="005C75B3">
          <w:rPr>
            <w:rStyle w:val="Hyperlink"/>
            <w:rFonts w:cs="Arial"/>
            <w:noProof/>
            <w:lang w:val="en-US"/>
          </w:rPr>
          <w:t xml:space="preserve"> </w:t>
        </w:r>
        <w:r w:rsidR="007857AD" w:rsidRPr="005C75B3">
          <w:rPr>
            <w:rStyle w:val="Hyperlink"/>
            <w:rFonts w:cs="Arial"/>
            <w:noProof/>
          </w:rPr>
          <w:t>reacquisition is applicable to all UEs regardless of constellation type.</w:t>
        </w:r>
      </w:hyperlink>
    </w:p>
    <w:p w14:paraId="35FF775F" w14:textId="0C853B97"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5"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[Components]: After merging 2-3b and 2-4b, the merged components are:</w:t>
        </w:r>
      </w:hyperlink>
    </w:p>
    <w:p w14:paraId="2493352E" w14:textId="6E9C6280"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6"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 xml:space="preserve">1. UE reports GNSS position fix time duration for measurement </w:t>
        </w:r>
        <w:r w:rsidR="007857AD" w:rsidRPr="005C75B3">
          <w:rPr>
            <w:rStyle w:val="Hyperlink"/>
            <w:rFonts w:cs="Arial"/>
            <w:noProof/>
            <w:lang w:val="en-US"/>
          </w:rPr>
          <w:t xml:space="preserve">and remaining GNSS </w:t>
        </w:r>
        <w:r w:rsidR="007857AD" w:rsidRPr="005C75B3">
          <w:rPr>
            <w:rStyle w:val="Hyperlink"/>
            <w:rFonts w:cs="Arial"/>
            <w:strike/>
            <w:noProof/>
            <w:lang w:val="en-US"/>
          </w:rPr>
          <w:t>validation</w:t>
        </w:r>
        <w:r w:rsidR="007857AD" w:rsidRPr="005C75B3">
          <w:rPr>
            <w:rStyle w:val="Hyperlink"/>
            <w:rFonts w:cs="Arial"/>
            <w:noProof/>
            <w:lang w:val="en-US"/>
          </w:rPr>
          <w:t xml:space="preserve"> validity duration</w:t>
        </w:r>
        <w:r w:rsidR="007857AD" w:rsidRPr="005C75B3">
          <w:rPr>
            <w:rStyle w:val="Hyperlink"/>
            <w:rFonts w:cs="Arial"/>
            <w:noProof/>
          </w:rPr>
          <w:t xml:space="preserve"> at least</w:t>
        </w:r>
        <w:r w:rsidR="007857AD" w:rsidRPr="005C75B3">
          <w:rPr>
            <w:rStyle w:val="Hyperlink"/>
            <w:rFonts w:cs="Arial"/>
            <w:noProof/>
            <w:lang w:val="en-US"/>
          </w:rPr>
          <w:t xml:space="preserve"> during the initial access stage</w:t>
        </w:r>
        <w:r w:rsidR="007857AD" w:rsidRPr="005C75B3">
          <w:rPr>
            <w:rStyle w:val="Hyperlink"/>
            <w:rFonts w:cs="Arial"/>
            <w:noProof/>
          </w:rPr>
          <w:t xml:space="preserve"> </w:t>
        </w:r>
        <w:r w:rsidR="007857AD" w:rsidRPr="005C75B3">
          <w:rPr>
            <w:rStyle w:val="Hyperlink"/>
            <w:rFonts w:cs="Arial"/>
            <w:noProof/>
            <w:highlight w:val="yellow"/>
          </w:rPr>
          <w:t>[</w:t>
        </w:r>
        <w:r w:rsidR="007857AD" w:rsidRPr="005C75B3">
          <w:rPr>
            <w:rStyle w:val="Hyperlink"/>
            <w:rFonts w:cs="Arial"/>
            <w:strike/>
            <w:noProof/>
            <w:highlight w:val="yellow"/>
          </w:rPr>
          <w:t>during the initial access stage</w:t>
        </w:r>
        <w:r w:rsidR="007857AD" w:rsidRPr="005C75B3">
          <w:rPr>
            <w:rStyle w:val="Hyperlink"/>
            <w:rFonts w:cs="Arial"/>
            <w:noProof/>
            <w:highlight w:val="yellow"/>
          </w:rPr>
          <w:t xml:space="preserve"> and in connected mode]</w:t>
        </w:r>
        <w:r w:rsidR="007857AD" w:rsidRPr="005C75B3">
          <w:rPr>
            <w:rStyle w:val="Hyperlink"/>
            <w:rFonts w:cs="Arial"/>
            <w:noProof/>
          </w:rPr>
          <w:t>.</w:t>
        </w:r>
      </w:hyperlink>
    </w:p>
    <w:p w14:paraId="3E6BEBFE" w14:textId="271D3B28"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7"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 xml:space="preserve">2. </w:t>
        </w:r>
        <w:r w:rsidR="007857AD" w:rsidRPr="005C75B3">
          <w:rPr>
            <w:rStyle w:val="Hyperlink"/>
            <w:rFonts w:cs="Arial"/>
            <w:noProof/>
            <w:lang w:val="en-US"/>
          </w:rPr>
          <w:t xml:space="preserve">If </w:t>
        </w:r>
        <w:r w:rsidR="007857AD" w:rsidRPr="005C75B3">
          <w:rPr>
            <w:rStyle w:val="Hyperlink"/>
            <w:rFonts w:cs="Arial"/>
            <w:noProof/>
          </w:rPr>
          <w:t xml:space="preserve">UE receives eNB GNSS measurement trigger </w:t>
        </w:r>
        <w:r w:rsidR="007857AD" w:rsidRPr="005C75B3">
          <w:rPr>
            <w:rStyle w:val="Hyperlink"/>
            <w:rFonts w:cs="Arial"/>
            <w:noProof/>
            <w:lang w:val="en-US"/>
          </w:rPr>
          <w:t xml:space="preserve">before expiration of GNSS validity plus extension duration (if configured), </w:t>
        </w:r>
        <w:r w:rsidR="007857AD" w:rsidRPr="005C75B3">
          <w:rPr>
            <w:rStyle w:val="Hyperlink"/>
            <w:rFonts w:cs="Arial"/>
            <w:noProof/>
          </w:rPr>
          <w:t xml:space="preserve">UE re-acquires GNSS </w:t>
        </w:r>
        <w:r w:rsidR="007857AD" w:rsidRPr="005C75B3">
          <w:rPr>
            <w:rStyle w:val="Hyperlink"/>
            <w:rFonts w:cs="Arial"/>
            <w:noProof/>
            <w:lang w:val="en-US"/>
          </w:rPr>
          <w:t xml:space="preserve">position fix </w:t>
        </w:r>
        <w:r w:rsidR="007857AD" w:rsidRPr="005C75B3">
          <w:rPr>
            <w:rStyle w:val="Hyperlink"/>
            <w:rFonts w:cs="Arial"/>
            <w:noProof/>
          </w:rPr>
          <w:t>in RRC Connected state</w:t>
        </w:r>
        <w:r w:rsidR="007857AD" w:rsidRPr="005C75B3">
          <w:rPr>
            <w:rStyle w:val="Hyperlink"/>
            <w:rFonts w:cs="Arial"/>
            <w:noProof/>
            <w:lang w:val="en-US"/>
          </w:rPr>
          <w:t xml:space="preserve"> within the configured GNSS measurement gap.</w:t>
        </w:r>
      </w:hyperlink>
    </w:p>
    <w:p w14:paraId="4D4957A6" w14:textId="0B8BCFF1"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8"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strike/>
            <w:noProof/>
          </w:rPr>
          <w:t>3. UE re-acquires GNSS in RRC Connected state.</w:t>
        </w:r>
      </w:hyperlink>
    </w:p>
    <w:p w14:paraId="11B4561F" w14:textId="72C61507"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09"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strike/>
            <w:noProof/>
          </w:rPr>
          <w:t>4. UE re-acquires GNSS position fix within a configured gap.</w:t>
        </w:r>
      </w:hyperlink>
    </w:p>
    <w:p w14:paraId="4E589C6E" w14:textId="0BC13246" w:rsidR="007857AD" w:rsidRDefault="005562E1" w:rsidP="007857AD">
      <w:pPr>
        <w:pStyle w:val="TableofFigures"/>
        <w:tabs>
          <w:tab w:val="right" w:leader="dot" w:pos="10456"/>
        </w:tabs>
        <w:ind w:left="2127" w:hanging="426"/>
        <w:jc w:val="both"/>
        <w:rPr>
          <w:rFonts w:asciiTheme="minorHAnsi" w:eastAsiaTheme="minorEastAsia" w:hAnsiTheme="minorHAnsi" w:cstheme="minorBidi"/>
          <w:b w:val="0"/>
          <w:noProof/>
          <w:sz w:val="22"/>
          <w:szCs w:val="22"/>
          <w:lang w:val="en-SE" w:eastAsia="en-SE"/>
        </w:rPr>
      </w:pPr>
      <w:hyperlink w:anchor="_Toc142516110" w:history="1">
        <w:r w:rsidR="007857AD" w:rsidRPr="005C75B3">
          <w:rPr>
            <w:rStyle w:val="Hyperlink"/>
            <w:rFonts w:ascii="Symbol" w:hAnsi="Symbol"/>
            <w:noProof/>
          </w:rPr>
          <w:t></w:t>
        </w:r>
        <w:r w:rsidR="007857AD">
          <w:rPr>
            <w:rFonts w:asciiTheme="minorHAnsi" w:eastAsiaTheme="minorEastAsia" w:hAnsiTheme="minorHAnsi" w:cstheme="minorBidi"/>
            <w:b w:val="0"/>
            <w:noProof/>
            <w:sz w:val="22"/>
            <w:szCs w:val="22"/>
            <w:lang w:val="en-SE" w:eastAsia="en-SE"/>
          </w:rPr>
          <w:tab/>
        </w:r>
        <w:r w:rsidR="007857AD" w:rsidRPr="005C75B3">
          <w:rPr>
            <w:rStyle w:val="Hyperlink"/>
            <w:rFonts w:cs="Arial"/>
            <w:noProof/>
          </w:rPr>
          <w:t xml:space="preserve">3. </w:t>
        </w:r>
        <w:r w:rsidR="007857AD" w:rsidRPr="005C75B3">
          <w:rPr>
            <w:rStyle w:val="Hyperlink"/>
            <w:rFonts w:cs="Arial"/>
            <w:noProof/>
            <w:lang w:val="en-US"/>
          </w:rPr>
          <w:t xml:space="preserve">If </w:t>
        </w:r>
        <w:r w:rsidR="007857AD" w:rsidRPr="005C75B3">
          <w:rPr>
            <w:rStyle w:val="Hyperlink"/>
            <w:rFonts w:cs="Arial"/>
            <w:noProof/>
          </w:rPr>
          <w:t xml:space="preserve">UE does not receive eNB GNSS measurement trigger </w:t>
        </w:r>
        <w:r w:rsidR="007857AD" w:rsidRPr="005C75B3">
          <w:rPr>
            <w:rStyle w:val="Hyperlink"/>
            <w:rFonts w:cs="Arial"/>
            <w:noProof/>
            <w:lang w:val="en-US"/>
          </w:rPr>
          <w:t xml:space="preserve">before expiration of GNSS validity plus extension duration (if configured), </w:t>
        </w:r>
        <w:r w:rsidR="007857AD" w:rsidRPr="005C75B3">
          <w:rPr>
            <w:rStyle w:val="Hyperlink"/>
            <w:rFonts w:cs="Arial"/>
            <w:noProof/>
          </w:rPr>
          <w:t xml:space="preserve">UE re-acquires GNSS </w:t>
        </w:r>
        <w:r w:rsidR="007857AD" w:rsidRPr="005C75B3">
          <w:rPr>
            <w:rStyle w:val="Hyperlink"/>
            <w:rFonts w:cs="Arial"/>
            <w:noProof/>
            <w:lang w:val="en-US"/>
          </w:rPr>
          <w:t xml:space="preserve">position fix </w:t>
        </w:r>
        <w:r w:rsidR="007857AD" w:rsidRPr="005C75B3">
          <w:rPr>
            <w:rStyle w:val="Hyperlink"/>
            <w:rFonts w:cs="Arial"/>
            <w:noProof/>
          </w:rPr>
          <w:t>in RRC Connected state</w:t>
        </w:r>
        <w:r w:rsidR="007857AD" w:rsidRPr="005C75B3">
          <w:rPr>
            <w:rStyle w:val="Hyperlink"/>
            <w:rFonts w:cs="Arial"/>
            <w:noProof/>
            <w:lang w:val="en-US"/>
          </w:rPr>
          <w:t xml:space="preserve"> within the autonomous GNSS measurement gap (if configured).</w:t>
        </w:r>
      </w:hyperlink>
    </w:p>
    <w:p w14:paraId="614B7F85" w14:textId="38761881" w:rsidR="006A5A46" w:rsidRPr="009F5A11" w:rsidRDefault="006A5A46" w:rsidP="006A5A46">
      <w:pPr>
        <w:spacing w:after="120"/>
        <w:ind w:left="567"/>
        <w:jc w:val="both"/>
        <w:rPr>
          <w:rFonts w:ascii="Arial" w:hAnsi="Arial" w:cs="Arial"/>
          <w:color w:val="000000"/>
        </w:rPr>
      </w:pPr>
      <w:r w:rsidRPr="009F5A11">
        <w:rPr>
          <w:b/>
          <w:bCs/>
          <w:lang w:val="en-US"/>
        </w:rPr>
        <w:fldChar w:fldCharType="end"/>
      </w:r>
    </w:p>
    <w:p w14:paraId="38D74B0D" w14:textId="46270B35" w:rsidR="00DC643D" w:rsidRPr="009F5A11" w:rsidRDefault="00477D15" w:rsidP="00FF37F1">
      <w:pPr>
        <w:pStyle w:val="Heading1"/>
      </w:pPr>
      <w:bookmarkStart w:id="45" w:name="_In-sequence_SDU_delivery"/>
      <w:bookmarkEnd w:id="45"/>
      <w:r w:rsidRPr="009F5A11">
        <w:t>4</w:t>
      </w:r>
      <w:r w:rsidRPr="009F5A11">
        <w:tab/>
      </w:r>
      <w:r w:rsidR="00F507D1" w:rsidRPr="009F5A11">
        <w:t>References</w:t>
      </w:r>
      <w:bookmarkStart w:id="46" w:name="_Ref174151459"/>
      <w:bookmarkStart w:id="47" w:name="_Ref189809556"/>
    </w:p>
    <w:bookmarkStart w:id="48" w:name="_Ref94806044"/>
    <w:bookmarkStart w:id="49" w:name="_Ref99621834"/>
    <w:bookmarkStart w:id="50" w:name="_Ref115265065"/>
    <w:bookmarkEnd w:id="46"/>
    <w:bookmarkEnd w:id="47"/>
    <w:p w14:paraId="02E8AE4C" w14:textId="7667240E" w:rsidR="00AB2C12" w:rsidRPr="009F5A11" w:rsidRDefault="00B52691" w:rsidP="00D56B29">
      <w:pPr>
        <w:pStyle w:val="Reference"/>
      </w:pPr>
      <w:r w:rsidRPr="009F5A11">
        <w:fldChar w:fldCharType="begin"/>
      </w:r>
      <w:r w:rsidRPr="009F5A11">
        <w:instrText>HYPERLINK "https://www.3gpp.org/ftp/TSG_RAN/TSG_RAN/TSGR_98e/Docs/RP-223519.zip"</w:instrText>
      </w:r>
      <w:r w:rsidRPr="009F5A11">
        <w:fldChar w:fldCharType="separate"/>
      </w:r>
      <w:r w:rsidRPr="009F5A11">
        <w:rPr>
          <w:rStyle w:val="Hyperlink"/>
        </w:rPr>
        <w:t>RP-223519</w:t>
      </w:r>
      <w:r w:rsidRPr="009F5A11">
        <w:fldChar w:fldCharType="end"/>
      </w:r>
      <w:r w:rsidR="00D56B29" w:rsidRPr="009F5A11">
        <w:t>, "</w:t>
      </w:r>
      <w:r w:rsidR="00B160FF" w:rsidRPr="009F5A11">
        <w:t xml:space="preserve"> WID on IoT NTN enhancements</w:t>
      </w:r>
      <w:r w:rsidR="00D56B29" w:rsidRPr="009F5A11">
        <w:t xml:space="preserve">", </w:t>
      </w:r>
      <w:r w:rsidR="00B160FF" w:rsidRPr="009F5A11">
        <w:t>MediaTek</w:t>
      </w:r>
      <w:r w:rsidR="00D56B29" w:rsidRPr="009F5A11">
        <w:t>, RAN#9</w:t>
      </w:r>
      <w:r w:rsidR="00233216" w:rsidRPr="009F5A11">
        <w:t>8e</w:t>
      </w:r>
      <w:r w:rsidR="00D56B29" w:rsidRPr="009F5A11">
        <w:t xml:space="preserve">, </w:t>
      </w:r>
      <w:r w:rsidR="009E1A43" w:rsidRPr="009F5A11">
        <w:t>December</w:t>
      </w:r>
      <w:r w:rsidR="00D56B29" w:rsidRPr="009F5A11">
        <w:t xml:space="preserve"> 202</w:t>
      </w:r>
      <w:bookmarkEnd w:id="48"/>
      <w:bookmarkEnd w:id="49"/>
      <w:bookmarkEnd w:id="50"/>
      <w:r w:rsidR="009E1A43" w:rsidRPr="009F5A11">
        <w:t>2</w:t>
      </w:r>
    </w:p>
    <w:bookmarkStart w:id="51" w:name="_Ref83273940"/>
    <w:p w14:paraId="3252614E" w14:textId="2A098E3B" w:rsidR="00EB006F" w:rsidRPr="009F5A11" w:rsidRDefault="00EB006F" w:rsidP="00EB006F">
      <w:pPr>
        <w:pStyle w:val="Reference"/>
      </w:pPr>
      <w:r w:rsidRPr="009F5A11">
        <w:fldChar w:fldCharType="begin"/>
      </w:r>
      <w:r w:rsidR="008D47F1">
        <w:instrText>HYPERLINK "https://www.3gpp.org/ftp/tsg_ran/WG1_RL1/TSGR1_113/Docs/R1-2306220.zip"</w:instrText>
      </w:r>
      <w:r w:rsidRPr="009F5A11">
        <w:fldChar w:fldCharType="separate"/>
      </w:r>
      <w:r w:rsidR="008D47F1">
        <w:rPr>
          <w:rStyle w:val="Hyperlink"/>
        </w:rPr>
        <w:t>R1-2306220</w:t>
      </w:r>
      <w:r w:rsidRPr="009F5A11">
        <w:fldChar w:fldCharType="end"/>
      </w:r>
      <w:r w:rsidRPr="009F5A11">
        <w:t>, “</w:t>
      </w:r>
      <w:bookmarkEnd w:id="51"/>
      <w:r w:rsidR="008D47F1">
        <w:t>Initial RAN1 UE features list for Rel-18 LTE after RAN1#113</w:t>
      </w:r>
      <w:r w:rsidRPr="009F5A11">
        <w:t xml:space="preserve">”, </w:t>
      </w:r>
      <w:r w:rsidR="008D47F1">
        <w:rPr>
          <w:rFonts w:cs="Arial"/>
          <w:color w:val="000000"/>
        </w:rPr>
        <w:t>Moderators (AT&amp;T, NTT DOCOMO INC)</w:t>
      </w:r>
      <w:r w:rsidRPr="009F5A11">
        <w:rPr>
          <w:rFonts w:cs="Arial"/>
          <w:color w:val="000000"/>
        </w:rPr>
        <w:t>, RAN1#1</w:t>
      </w:r>
      <w:r w:rsidR="008D47F1">
        <w:rPr>
          <w:rFonts w:cs="Arial"/>
          <w:color w:val="000000"/>
        </w:rPr>
        <w:t>13</w:t>
      </w:r>
      <w:r w:rsidRPr="009F5A11">
        <w:rPr>
          <w:rFonts w:cs="Arial"/>
          <w:color w:val="000000"/>
        </w:rPr>
        <w:t xml:space="preserve">, </w:t>
      </w:r>
      <w:r w:rsidR="008D47F1" w:rsidRPr="008D47F1">
        <w:rPr>
          <w:rFonts w:cs="Arial"/>
          <w:color w:val="000000"/>
        </w:rPr>
        <w:t>Incheon, Korea, May 22nd – May 26th, 2023</w:t>
      </w:r>
      <w:r w:rsidR="008D47F1">
        <w:rPr>
          <w:rFonts w:cs="Arial"/>
          <w:color w:val="000000"/>
        </w:rPr>
        <w:t>.</w:t>
      </w:r>
    </w:p>
    <w:p w14:paraId="1BCD3503" w14:textId="77777777" w:rsidR="006A5A46" w:rsidRDefault="006A5A46" w:rsidP="006A5A46">
      <w:pPr>
        <w:pStyle w:val="BodyText"/>
        <w:jc w:val="center"/>
        <w:rPr>
          <w:rFonts w:ascii="Times New Roman" w:hAnsi="Times New Roman"/>
          <w:lang w:eastAsia="ja-JP"/>
        </w:rPr>
      </w:pPr>
    </w:p>
    <w:p w14:paraId="607F2863" w14:textId="77777777" w:rsidR="006A5A46" w:rsidRDefault="006A5A46">
      <w:pPr>
        <w:overflowPunct/>
        <w:autoSpaceDE/>
        <w:autoSpaceDN/>
        <w:adjustRightInd/>
        <w:spacing w:after="0"/>
        <w:textAlignment w:val="auto"/>
        <w:rPr>
          <w:rFonts w:ascii="CG Times (WN)" w:hAnsi="CG Times (WN)"/>
          <w:lang w:eastAsia="en-GB"/>
        </w:rPr>
      </w:pPr>
    </w:p>
    <w:sectPr w:rsidR="006A5A46"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13E4" w14:textId="77777777" w:rsidR="000704DB" w:rsidRDefault="000704DB">
      <w:r>
        <w:separator/>
      </w:r>
    </w:p>
  </w:endnote>
  <w:endnote w:type="continuationSeparator" w:id="0">
    <w:p w14:paraId="4492016B" w14:textId="77777777" w:rsidR="000704DB" w:rsidRDefault="000704DB">
      <w:r>
        <w:continuationSeparator/>
      </w:r>
    </w:p>
  </w:endnote>
  <w:endnote w:type="continuationNotice" w:id="1">
    <w:p w14:paraId="20BFA1B4" w14:textId="77777777" w:rsidR="000704DB" w:rsidRDefault="00070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B3EE" w14:textId="77777777" w:rsidR="000704DB" w:rsidRDefault="000704DB">
      <w:r>
        <w:separator/>
      </w:r>
    </w:p>
  </w:footnote>
  <w:footnote w:type="continuationSeparator" w:id="0">
    <w:p w14:paraId="21298298" w14:textId="77777777" w:rsidR="000704DB" w:rsidRDefault="000704DB">
      <w:r>
        <w:continuationSeparator/>
      </w:r>
    </w:p>
  </w:footnote>
  <w:footnote w:type="continuationNotice" w:id="1">
    <w:p w14:paraId="67C361D1" w14:textId="77777777" w:rsidR="000704DB" w:rsidRDefault="00070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3674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D8DF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0B561C"/>
    <w:multiLevelType w:val="hybridMultilevel"/>
    <w:tmpl w:val="5F467B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1F2B91"/>
    <w:multiLevelType w:val="hybridMultilevel"/>
    <w:tmpl w:val="3050F7E0"/>
    <w:lvl w:ilvl="0" w:tplc="20000005">
      <w:start w:val="1"/>
      <w:numFmt w:val="bullet"/>
      <w:lvlText w:val=""/>
      <w:lvlJc w:val="left"/>
      <w:pPr>
        <w:ind w:left="3141" w:hanging="360"/>
      </w:pPr>
      <w:rPr>
        <w:rFonts w:ascii="Wingdings" w:hAnsi="Wingdings" w:hint="default"/>
      </w:rPr>
    </w:lvl>
    <w:lvl w:ilvl="1" w:tplc="20000003" w:tentative="1">
      <w:start w:val="1"/>
      <w:numFmt w:val="bullet"/>
      <w:lvlText w:val="o"/>
      <w:lvlJc w:val="left"/>
      <w:pPr>
        <w:ind w:left="3861" w:hanging="360"/>
      </w:pPr>
      <w:rPr>
        <w:rFonts w:ascii="Courier New" w:hAnsi="Courier New" w:cs="Courier New" w:hint="default"/>
      </w:rPr>
    </w:lvl>
    <w:lvl w:ilvl="2" w:tplc="20000005" w:tentative="1">
      <w:start w:val="1"/>
      <w:numFmt w:val="bullet"/>
      <w:lvlText w:val=""/>
      <w:lvlJc w:val="left"/>
      <w:pPr>
        <w:ind w:left="4581" w:hanging="360"/>
      </w:pPr>
      <w:rPr>
        <w:rFonts w:ascii="Wingdings" w:hAnsi="Wingdings" w:hint="default"/>
      </w:rPr>
    </w:lvl>
    <w:lvl w:ilvl="3" w:tplc="20000001" w:tentative="1">
      <w:start w:val="1"/>
      <w:numFmt w:val="bullet"/>
      <w:lvlText w:val=""/>
      <w:lvlJc w:val="left"/>
      <w:pPr>
        <w:ind w:left="5301" w:hanging="360"/>
      </w:pPr>
      <w:rPr>
        <w:rFonts w:ascii="Symbol" w:hAnsi="Symbol" w:hint="default"/>
      </w:rPr>
    </w:lvl>
    <w:lvl w:ilvl="4" w:tplc="20000003" w:tentative="1">
      <w:start w:val="1"/>
      <w:numFmt w:val="bullet"/>
      <w:lvlText w:val="o"/>
      <w:lvlJc w:val="left"/>
      <w:pPr>
        <w:ind w:left="6021" w:hanging="360"/>
      </w:pPr>
      <w:rPr>
        <w:rFonts w:ascii="Courier New" w:hAnsi="Courier New" w:cs="Courier New" w:hint="default"/>
      </w:rPr>
    </w:lvl>
    <w:lvl w:ilvl="5" w:tplc="20000005" w:tentative="1">
      <w:start w:val="1"/>
      <w:numFmt w:val="bullet"/>
      <w:lvlText w:val=""/>
      <w:lvlJc w:val="left"/>
      <w:pPr>
        <w:ind w:left="6741" w:hanging="360"/>
      </w:pPr>
      <w:rPr>
        <w:rFonts w:ascii="Wingdings" w:hAnsi="Wingdings" w:hint="default"/>
      </w:rPr>
    </w:lvl>
    <w:lvl w:ilvl="6" w:tplc="20000001" w:tentative="1">
      <w:start w:val="1"/>
      <w:numFmt w:val="bullet"/>
      <w:lvlText w:val=""/>
      <w:lvlJc w:val="left"/>
      <w:pPr>
        <w:ind w:left="7461" w:hanging="360"/>
      </w:pPr>
      <w:rPr>
        <w:rFonts w:ascii="Symbol" w:hAnsi="Symbol" w:hint="default"/>
      </w:rPr>
    </w:lvl>
    <w:lvl w:ilvl="7" w:tplc="20000003" w:tentative="1">
      <w:start w:val="1"/>
      <w:numFmt w:val="bullet"/>
      <w:lvlText w:val="o"/>
      <w:lvlJc w:val="left"/>
      <w:pPr>
        <w:ind w:left="8181" w:hanging="360"/>
      </w:pPr>
      <w:rPr>
        <w:rFonts w:ascii="Courier New" w:hAnsi="Courier New" w:cs="Courier New" w:hint="default"/>
      </w:rPr>
    </w:lvl>
    <w:lvl w:ilvl="8" w:tplc="20000005" w:tentative="1">
      <w:start w:val="1"/>
      <w:numFmt w:val="bullet"/>
      <w:lvlText w:val=""/>
      <w:lvlJc w:val="left"/>
      <w:pPr>
        <w:ind w:left="8901" w:hanging="360"/>
      </w:pPr>
      <w:rPr>
        <w:rFonts w:ascii="Wingdings" w:hAnsi="Wingdings" w:hint="default"/>
      </w:rPr>
    </w:lvl>
  </w:abstractNum>
  <w:abstractNum w:abstractNumId="5" w15:restartNumberingAfterBreak="0">
    <w:nsid w:val="054D7D1F"/>
    <w:multiLevelType w:val="hybridMultilevel"/>
    <w:tmpl w:val="65803990"/>
    <w:lvl w:ilvl="0" w:tplc="FFFFFFFF">
      <w:start w:val="1"/>
      <w:numFmt w:val="bullet"/>
      <w:lvlText w:val=""/>
      <w:lvlJc w:val="left"/>
      <w:pPr>
        <w:ind w:left="2421" w:hanging="360"/>
      </w:pPr>
      <w:rPr>
        <w:rFonts w:ascii="Symbol" w:hAnsi="Symbol" w:hint="default"/>
      </w:rPr>
    </w:lvl>
    <w:lvl w:ilvl="1" w:tplc="20000005">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 w15:restartNumberingAfterBreak="0">
    <w:nsid w:val="0D872C83"/>
    <w:multiLevelType w:val="hybridMultilevel"/>
    <w:tmpl w:val="66762E62"/>
    <w:lvl w:ilvl="0" w:tplc="20000005">
      <w:start w:val="1"/>
      <w:numFmt w:val="bullet"/>
      <w:lvlText w:val=""/>
      <w:lvlJc w:val="left"/>
      <w:pPr>
        <w:ind w:left="3861" w:hanging="360"/>
      </w:pPr>
      <w:rPr>
        <w:rFonts w:ascii="Wingdings" w:hAnsi="Wingdings" w:hint="default"/>
      </w:rPr>
    </w:lvl>
    <w:lvl w:ilvl="1" w:tplc="FFFFFFFF" w:tentative="1">
      <w:start w:val="1"/>
      <w:numFmt w:val="bullet"/>
      <w:lvlText w:val="o"/>
      <w:lvlJc w:val="left"/>
      <w:pPr>
        <w:ind w:left="4581" w:hanging="360"/>
      </w:pPr>
      <w:rPr>
        <w:rFonts w:ascii="Courier New" w:hAnsi="Courier New" w:cs="Courier New" w:hint="default"/>
      </w:rPr>
    </w:lvl>
    <w:lvl w:ilvl="2" w:tplc="FFFFFFFF" w:tentative="1">
      <w:start w:val="1"/>
      <w:numFmt w:val="bullet"/>
      <w:lvlText w:val=""/>
      <w:lvlJc w:val="left"/>
      <w:pPr>
        <w:ind w:left="5301" w:hanging="360"/>
      </w:pPr>
      <w:rPr>
        <w:rFonts w:ascii="Wingdings" w:hAnsi="Wingdings" w:hint="default"/>
      </w:rPr>
    </w:lvl>
    <w:lvl w:ilvl="3" w:tplc="FFFFFFFF" w:tentative="1">
      <w:start w:val="1"/>
      <w:numFmt w:val="bullet"/>
      <w:lvlText w:val=""/>
      <w:lvlJc w:val="left"/>
      <w:pPr>
        <w:ind w:left="6021" w:hanging="360"/>
      </w:pPr>
      <w:rPr>
        <w:rFonts w:ascii="Symbol" w:hAnsi="Symbol" w:hint="default"/>
      </w:rPr>
    </w:lvl>
    <w:lvl w:ilvl="4" w:tplc="FFFFFFFF" w:tentative="1">
      <w:start w:val="1"/>
      <w:numFmt w:val="bullet"/>
      <w:lvlText w:val="o"/>
      <w:lvlJc w:val="left"/>
      <w:pPr>
        <w:ind w:left="6741" w:hanging="360"/>
      </w:pPr>
      <w:rPr>
        <w:rFonts w:ascii="Courier New" w:hAnsi="Courier New" w:cs="Courier New" w:hint="default"/>
      </w:rPr>
    </w:lvl>
    <w:lvl w:ilvl="5" w:tplc="FFFFFFFF" w:tentative="1">
      <w:start w:val="1"/>
      <w:numFmt w:val="bullet"/>
      <w:lvlText w:val=""/>
      <w:lvlJc w:val="left"/>
      <w:pPr>
        <w:ind w:left="7461" w:hanging="360"/>
      </w:pPr>
      <w:rPr>
        <w:rFonts w:ascii="Wingdings" w:hAnsi="Wingdings" w:hint="default"/>
      </w:rPr>
    </w:lvl>
    <w:lvl w:ilvl="6" w:tplc="FFFFFFFF" w:tentative="1">
      <w:start w:val="1"/>
      <w:numFmt w:val="bullet"/>
      <w:lvlText w:val=""/>
      <w:lvlJc w:val="left"/>
      <w:pPr>
        <w:ind w:left="8181" w:hanging="360"/>
      </w:pPr>
      <w:rPr>
        <w:rFonts w:ascii="Symbol" w:hAnsi="Symbol" w:hint="default"/>
      </w:rPr>
    </w:lvl>
    <w:lvl w:ilvl="7" w:tplc="FFFFFFFF" w:tentative="1">
      <w:start w:val="1"/>
      <w:numFmt w:val="bullet"/>
      <w:lvlText w:val="o"/>
      <w:lvlJc w:val="left"/>
      <w:pPr>
        <w:ind w:left="8901" w:hanging="360"/>
      </w:pPr>
      <w:rPr>
        <w:rFonts w:ascii="Courier New" w:hAnsi="Courier New" w:cs="Courier New" w:hint="default"/>
      </w:rPr>
    </w:lvl>
    <w:lvl w:ilvl="8" w:tplc="FFFFFFFF" w:tentative="1">
      <w:start w:val="1"/>
      <w:numFmt w:val="bullet"/>
      <w:lvlText w:val=""/>
      <w:lvlJc w:val="left"/>
      <w:pPr>
        <w:ind w:left="962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C490E"/>
    <w:multiLevelType w:val="hybridMultilevel"/>
    <w:tmpl w:val="A982933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2F64A2"/>
    <w:multiLevelType w:val="hybridMultilevel"/>
    <w:tmpl w:val="7E0C2D5C"/>
    <w:lvl w:ilvl="0" w:tplc="20000001">
      <w:start w:val="1"/>
      <w:numFmt w:val="bullet"/>
      <w:lvlText w:val=""/>
      <w:lvlJc w:val="left"/>
      <w:pPr>
        <w:ind w:left="2421" w:hanging="360"/>
      </w:pPr>
      <w:rPr>
        <w:rFonts w:ascii="Symbol" w:hAnsi="Symbol" w:hint="default"/>
      </w:rPr>
    </w:lvl>
    <w:lvl w:ilvl="1" w:tplc="2000000F">
      <w:start w:val="1"/>
      <w:numFmt w:val="decimal"/>
      <w:lvlText w:val="%2."/>
      <w:lvlJc w:val="left"/>
      <w:pPr>
        <w:ind w:left="3141" w:hanging="360"/>
      </w:p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7E2D63"/>
    <w:multiLevelType w:val="hybridMultilevel"/>
    <w:tmpl w:val="D26C2E44"/>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2E7A35"/>
    <w:multiLevelType w:val="hybridMultilevel"/>
    <w:tmpl w:val="34C83802"/>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6" w15:restartNumberingAfterBreak="0">
    <w:nsid w:val="46BD73B6"/>
    <w:multiLevelType w:val="hybridMultilevel"/>
    <w:tmpl w:val="24FA1376"/>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560BD5"/>
    <w:multiLevelType w:val="hybridMultilevel"/>
    <w:tmpl w:val="B53690FA"/>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95540D"/>
    <w:multiLevelType w:val="hybridMultilevel"/>
    <w:tmpl w:val="5A64444C"/>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22" w15:restartNumberingAfterBreak="0">
    <w:nsid w:val="5A507BEF"/>
    <w:multiLevelType w:val="hybridMultilevel"/>
    <w:tmpl w:val="AA10C978"/>
    <w:lvl w:ilvl="0" w:tplc="20000005">
      <w:start w:val="1"/>
      <w:numFmt w:val="bullet"/>
      <w:lvlText w:val=""/>
      <w:lvlJc w:val="left"/>
      <w:pPr>
        <w:ind w:left="4122" w:hanging="360"/>
      </w:pPr>
      <w:rPr>
        <w:rFonts w:ascii="Wingdings" w:hAnsi="Wingdings" w:hint="default"/>
      </w:rPr>
    </w:lvl>
    <w:lvl w:ilvl="1" w:tplc="20000003" w:tentative="1">
      <w:start w:val="1"/>
      <w:numFmt w:val="bullet"/>
      <w:lvlText w:val="o"/>
      <w:lvlJc w:val="left"/>
      <w:pPr>
        <w:ind w:left="4842" w:hanging="360"/>
      </w:pPr>
      <w:rPr>
        <w:rFonts w:ascii="Courier New" w:hAnsi="Courier New" w:cs="Courier New" w:hint="default"/>
      </w:rPr>
    </w:lvl>
    <w:lvl w:ilvl="2" w:tplc="20000005" w:tentative="1">
      <w:start w:val="1"/>
      <w:numFmt w:val="bullet"/>
      <w:lvlText w:val=""/>
      <w:lvlJc w:val="left"/>
      <w:pPr>
        <w:ind w:left="5562" w:hanging="360"/>
      </w:pPr>
      <w:rPr>
        <w:rFonts w:ascii="Wingdings" w:hAnsi="Wingdings" w:hint="default"/>
      </w:rPr>
    </w:lvl>
    <w:lvl w:ilvl="3" w:tplc="20000001" w:tentative="1">
      <w:start w:val="1"/>
      <w:numFmt w:val="bullet"/>
      <w:lvlText w:val=""/>
      <w:lvlJc w:val="left"/>
      <w:pPr>
        <w:ind w:left="6282" w:hanging="360"/>
      </w:pPr>
      <w:rPr>
        <w:rFonts w:ascii="Symbol" w:hAnsi="Symbol" w:hint="default"/>
      </w:rPr>
    </w:lvl>
    <w:lvl w:ilvl="4" w:tplc="20000003" w:tentative="1">
      <w:start w:val="1"/>
      <w:numFmt w:val="bullet"/>
      <w:lvlText w:val="o"/>
      <w:lvlJc w:val="left"/>
      <w:pPr>
        <w:ind w:left="7002" w:hanging="360"/>
      </w:pPr>
      <w:rPr>
        <w:rFonts w:ascii="Courier New" w:hAnsi="Courier New" w:cs="Courier New" w:hint="default"/>
      </w:rPr>
    </w:lvl>
    <w:lvl w:ilvl="5" w:tplc="20000005" w:tentative="1">
      <w:start w:val="1"/>
      <w:numFmt w:val="bullet"/>
      <w:lvlText w:val=""/>
      <w:lvlJc w:val="left"/>
      <w:pPr>
        <w:ind w:left="7722" w:hanging="360"/>
      </w:pPr>
      <w:rPr>
        <w:rFonts w:ascii="Wingdings" w:hAnsi="Wingdings" w:hint="default"/>
      </w:rPr>
    </w:lvl>
    <w:lvl w:ilvl="6" w:tplc="20000001" w:tentative="1">
      <w:start w:val="1"/>
      <w:numFmt w:val="bullet"/>
      <w:lvlText w:val=""/>
      <w:lvlJc w:val="left"/>
      <w:pPr>
        <w:ind w:left="8442" w:hanging="360"/>
      </w:pPr>
      <w:rPr>
        <w:rFonts w:ascii="Symbol" w:hAnsi="Symbol" w:hint="default"/>
      </w:rPr>
    </w:lvl>
    <w:lvl w:ilvl="7" w:tplc="20000003" w:tentative="1">
      <w:start w:val="1"/>
      <w:numFmt w:val="bullet"/>
      <w:lvlText w:val="o"/>
      <w:lvlJc w:val="left"/>
      <w:pPr>
        <w:ind w:left="9162" w:hanging="360"/>
      </w:pPr>
      <w:rPr>
        <w:rFonts w:ascii="Courier New" w:hAnsi="Courier New" w:cs="Courier New" w:hint="default"/>
      </w:rPr>
    </w:lvl>
    <w:lvl w:ilvl="8" w:tplc="20000005" w:tentative="1">
      <w:start w:val="1"/>
      <w:numFmt w:val="bullet"/>
      <w:lvlText w:val=""/>
      <w:lvlJc w:val="left"/>
      <w:pPr>
        <w:ind w:left="9882"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123CAE"/>
    <w:multiLevelType w:val="hybridMultilevel"/>
    <w:tmpl w:val="9A74ECDA"/>
    <w:lvl w:ilvl="0" w:tplc="91E20CFC">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A25448"/>
    <w:multiLevelType w:val="hybridMultilevel"/>
    <w:tmpl w:val="2312F2EA"/>
    <w:lvl w:ilvl="0" w:tplc="20000005">
      <w:start w:val="1"/>
      <w:numFmt w:val="bullet"/>
      <w:lvlText w:val=""/>
      <w:lvlJc w:val="left"/>
      <w:pPr>
        <w:ind w:left="2781" w:hanging="360"/>
      </w:pPr>
      <w:rPr>
        <w:rFonts w:ascii="Wingdings" w:hAnsi="Wingdings"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7F50071B"/>
    <w:multiLevelType w:val="hybridMultilevel"/>
    <w:tmpl w:val="4F1C5304"/>
    <w:lvl w:ilvl="0" w:tplc="04090001">
      <w:start w:val="1"/>
      <w:numFmt w:val="bullet"/>
      <w:lvlText w:val=""/>
      <w:lvlJc w:val="left"/>
      <w:pPr>
        <w:ind w:left="2781" w:hanging="360"/>
      </w:pPr>
      <w:rPr>
        <w:rFonts w:ascii="Symbol" w:hAnsi="Symbol" w:hint="default"/>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num w:numId="1" w16cid:durableId="180321956">
    <w:abstractNumId w:val="17"/>
  </w:num>
  <w:num w:numId="2" w16cid:durableId="1066103646">
    <w:abstractNumId w:val="14"/>
  </w:num>
  <w:num w:numId="3" w16cid:durableId="2130738699">
    <w:abstractNumId w:val="2"/>
  </w:num>
  <w:num w:numId="4" w16cid:durableId="1755545520">
    <w:abstractNumId w:val="19"/>
  </w:num>
  <w:num w:numId="5" w16cid:durableId="770902607">
    <w:abstractNumId w:val="20"/>
  </w:num>
  <w:num w:numId="6" w16cid:durableId="265432570">
    <w:abstractNumId w:val="23"/>
  </w:num>
  <w:num w:numId="7" w16cid:durableId="1825052133">
    <w:abstractNumId w:val="8"/>
  </w:num>
  <w:num w:numId="8" w16cid:durableId="668753665">
    <w:abstractNumId w:val="10"/>
  </w:num>
  <w:num w:numId="9" w16cid:durableId="1250627108">
    <w:abstractNumId w:val="7"/>
  </w:num>
  <w:num w:numId="10" w16cid:durableId="1783105622">
    <w:abstractNumId w:val="28"/>
  </w:num>
  <w:num w:numId="11" w16cid:durableId="1811752298">
    <w:abstractNumId w:val="12"/>
  </w:num>
  <w:num w:numId="12" w16cid:durableId="909660311">
    <w:abstractNumId w:val="26"/>
  </w:num>
  <w:num w:numId="13" w16cid:durableId="274750147">
    <w:abstractNumId w:val="11"/>
  </w:num>
  <w:num w:numId="14" w16cid:durableId="1612543405">
    <w:abstractNumId w:val="5"/>
  </w:num>
  <w:num w:numId="15" w16cid:durableId="1362433222">
    <w:abstractNumId w:val="16"/>
  </w:num>
  <w:num w:numId="16" w16cid:durableId="263198520">
    <w:abstractNumId w:val="18"/>
  </w:num>
  <w:num w:numId="17" w16cid:durableId="1152023089">
    <w:abstractNumId w:val="3"/>
  </w:num>
  <w:num w:numId="18" w16cid:durableId="400179992">
    <w:abstractNumId w:val="9"/>
  </w:num>
  <w:num w:numId="19" w16cid:durableId="1122770287">
    <w:abstractNumId w:val="22"/>
  </w:num>
  <w:num w:numId="20" w16cid:durableId="1464545824">
    <w:abstractNumId w:val="6"/>
  </w:num>
  <w:num w:numId="21" w16cid:durableId="1174610761">
    <w:abstractNumId w:val="21"/>
  </w:num>
  <w:num w:numId="22" w16cid:durableId="1266765656">
    <w:abstractNumId w:val="13"/>
  </w:num>
  <w:num w:numId="23" w16cid:durableId="1143502245">
    <w:abstractNumId w:val="4"/>
  </w:num>
  <w:num w:numId="24" w16cid:durableId="351420011">
    <w:abstractNumId w:val="15"/>
  </w:num>
  <w:num w:numId="25" w16cid:durableId="1519929571">
    <w:abstractNumId w:val="24"/>
  </w:num>
  <w:num w:numId="26" w16cid:durableId="1523282297">
    <w:abstractNumId w:val="1"/>
  </w:num>
  <w:num w:numId="27" w16cid:durableId="1571578961">
    <w:abstractNumId w:val="0"/>
  </w:num>
  <w:num w:numId="28" w16cid:durableId="554632068">
    <w:abstractNumId w:val="29"/>
  </w:num>
  <w:num w:numId="29" w16cid:durableId="1540363104">
    <w:abstractNumId w:val="27"/>
  </w:num>
  <w:num w:numId="30" w16cid:durableId="2100368092">
    <w:abstractNumId w:val="25"/>
  </w:num>
  <w:num w:numId="31" w16cid:durableId="1035617267">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38A6"/>
    <w:rsid w:val="0000564C"/>
    <w:rsid w:val="00006446"/>
    <w:rsid w:val="00006896"/>
    <w:rsid w:val="000079DE"/>
    <w:rsid w:val="00007CDC"/>
    <w:rsid w:val="000102EA"/>
    <w:rsid w:val="00011B28"/>
    <w:rsid w:val="00012AC5"/>
    <w:rsid w:val="0001451E"/>
    <w:rsid w:val="00015D15"/>
    <w:rsid w:val="0001667E"/>
    <w:rsid w:val="00017A1B"/>
    <w:rsid w:val="00020BA3"/>
    <w:rsid w:val="000210F6"/>
    <w:rsid w:val="0002163D"/>
    <w:rsid w:val="00024E52"/>
    <w:rsid w:val="000252C2"/>
    <w:rsid w:val="0002564D"/>
    <w:rsid w:val="00025A2F"/>
    <w:rsid w:val="00025ECA"/>
    <w:rsid w:val="00025FB2"/>
    <w:rsid w:val="00026830"/>
    <w:rsid w:val="000275DA"/>
    <w:rsid w:val="00027945"/>
    <w:rsid w:val="00031A20"/>
    <w:rsid w:val="000325B8"/>
    <w:rsid w:val="00033006"/>
    <w:rsid w:val="00033B53"/>
    <w:rsid w:val="00034745"/>
    <w:rsid w:val="00034C15"/>
    <w:rsid w:val="00036BA1"/>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673EA"/>
    <w:rsid w:val="00067E4E"/>
    <w:rsid w:val="000704DB"/>
    <w:rsid w:val="00070E4A"/>
    <w:rsid w:val="00077E5F"/>
    <w:rsid w:val="0008036A"/>
    <w:rsid w:val="00081AE6"/>
    <w:rsid w:val="00081DEE"/>
    <w:rsid w:val="00082D21"/>
    <w:rsid w:val="000834B3"/>
    <w:rsid w:val="000840D2"/>
    <w:rsid w:val="000855EB"/>
    <w:rsid w:val="00085B52"/>
    <w:rsid w:val="00085DCD"/>
    <w:rsid w:val="000866F2"/>
    <w:rsid w:val="0008781F"/>
    <w:rsid w:val="00087E19"/>
    <w:rsid w:val="0009009F"/>
    <w:rsid w:val="00091557"/>
    <w:rsid w:val="000924C1"/>
    <w:rsid w:val="000924F0"/>
    <w:rsid w:val="00093474"/>
    <w:rsid w:val="0009395B"/>
    <w:rsid w:val="00093B9D"/>
    <w:rsid w:val="000948E0"/>
    <w:rsid w:val="00094EA5"/>
    <w:rsid w:val="0009510F"/>
    <w:rsid w:val="000951B0"/>
    <w:rsid w:val="000958F9"/>
    <w:rsid w:val="000A1B7B"/>
    <w:rsid w:val="000A3586"/>
    <w:rsid w:val="000A56F2"/>
    <w:rsid w:val="000A6ABC"/>
    <w:rsid w:val="000B03F2"/>
    <w:rsid w:val="000B2719"/>
    <w:rsid w:val="000B3759"/>
    <w:rsid w:val="000B3795"/>
    <w:rsid w:val="000B3A8F"/>
    <w:rsid w:val="000B4952"/>
    <w:rsid w:val="000B4AB9"/>
    <w:rsid w:val="000B546C"/>
    <w:rsid w:val="000B58C3"/>
    <w:rsid w:val="000B60E1"/>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616"/>
    <w:rsid w:val="000F3BE9"/>
    <w:rsid w:val="000F3F6C"/>
    <w:rsid w:val="000F5145"/>
    <w:rsid w:val="000F5D78"/>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913"/>
    <w:rsid w:val="00117E66"/>
    <w:rsid w:val="001219F5"/>
    <w:rsid w:val="00121A20"/>
    <w:rsid w:val="0012377F"/>
    <w:rsid w:val="00124314"/>
    <w:rsid w:val="001246D5"/>
    <w:rsid w:val="00125027"/>
    <w:rsid w:val="00126B4A"/>
    <w:rsid w:val="00127004"/>
    <w:rsid w:val="00127138"/>
    <w:rsid w:val="001317A8"/>
    <w:rsid w:val="00132FD0"/>
    <w:rsid w:val="00133428"/>
    <w:rsid w:val="00133CA4"/>
    <w:rsid w:val="001344C0"/>
    <w:rsid w:val="001346FA"/>
    <w:rsid w:val="001349F7"/>
    <w:rsid w:val="00134FE5"/>
    <w:rsid w:val="00135252"/>
    <w:rsid w:val="00136627"/>
    <w:rsid w:val="0013703A"/>
    <w:rsid w:val="00137AB5"/>
    <w:rsid w:val="00137F0B"/>
    <w:rsid w:val="0014769C"/>
    <w:rsid w:val="00151E23"/>
    <w:rsid w:val="00151FEB"/>
    <w:rsid w:val="001526E0"/>
    <w:rsid w:val="00152845"/>
    <w:rsid w:val="001551B5"/>
    <w:rsid w:val="0015542A"/>
    <w:rsid w:val="00157D01"/>
    <w:rsid w:val="001604E1"/>
    <w:rsid w:val="00163458"/>
    <w:rsid w:val="001641D4"/>
    <w:rsid w:val="001659C1"/>
    <w:rsid w:val="0016766F"/>
    <w:rsid w:val="00170B82"/>
    <w:rsid w:val="00171E19"/>
    <w:rsid w:val="00172DE3"/>
    <w:rsid w:val="00172FBA"/>
    <w:rsid w:val="00173A8E"/>
    <w:rsid w:val="0017502C"/>
    <w:rsid w:val="00175DA8"/>
    <w:rsid w:val="0018143F"/>
    <w:rsid w:val="00181FF8"/>
    <w:rsid w:val="00182A96"/>
    <w:rsid w:val="00185B04"/>
    <w:rsid w:val="00190145"/>
    <w:rsid w:val="00190AC1"/>
    <w:rsid w:val="00193025"/>
    <w:rsid w:val="0019341A"/>
    <w:rsid w:val="00197DF9"/>
    <w:rsid w:val="001A02DE"/>
    <w:rsid w:val="001A1987"/>
    <w:rsid w:val="001A2564"/>
    <w:rsid w:val="001A6173"/>
    <w:rsid w:val="001A6CBA"/>
    <w:rsid w:val="001B0D97"/>
    <w:rsid w:val="001B56B3"/>
    <w:rsid w:val="001B5A5D"/>
    <w:rsid w:val="001C1CE5"/>
    <w:rsid w:val="001C3D2A"/>
    <w:rsid w:val="001C5B0D"/>
    <w:rsid w:val="001D02F2"/>
    <w:rsid w:val="001D51BA"/>
    <w:rsid w:val="001D53E7"/>
    <w:rsid w:val="001D61A0"/>
    <w:rsid w:val="001D6342"/>
    <w:rsid w:val="001D6D53"/>
    <w:rsid w:val="001E314D"/>
    <w:rsid w:val="001E40D8"/>
    <w:rsid w:val="001E4870"/>
    <w:rsid w:val="001E51F9"/>
    <w:rsid w:val="001E58E2"/>
    <w:rsid w:val="001E5FCB"/>
    <w:rsid w:val="001E7AED"/>
    <w:rsid w:val="001E7BBD"/>
    <w:rsid w:val="001F1839"/>
    <w:rsid w:val="001F1E53"/>
    <w:rsid w:val="001F32CA"/>
    <w:rsid w:val="001F3916"/>
    <w:rsid w:val="001F523E"/>
    <w:rsid w:val="001F54C5"/>
    <w:rsid w:val="001F5A01"/>
    <w:rsid w:val="001F6629"/>
    <w:rsid w:val="001F662C"/>
    <w:rsid w:val="001F7074"/>
    <w:rsid w:val="0020047A"/>
    <w:rsid w:val="00200490"/>
    <w:rsid w:val="00201106"/>
    <w:rsid w:val="00201F3A"/>
    <w:rsid w:val="0020374A"/>
    <w:rsid w:val="00203F96"/>
    <w:rsid w:val="002069B2"/>
    <w:rsid w:val="00207FA3"/>
    <w:rsid w:val="00213D77"/>
    <w:rsid w:val="00214DA8"/>
    <w:rsid w:val="00215423"/>
    <w:rsid w:val="002158FA"/>
    <w:rsid w:val="00216E78"/>
    <w:rsid w:val="00220600"/>
    <w:rsid w:val="002224DB"/>
    <w:rsid w:val="00222D5F"/>
    <w:rsid w:val="00223FCB"/>
    <w:rsid w:val="00224B72"/>
    <w:rsid w:val="002252C3"/>
    <w:rsid w:val="00225C54"/>
    <w:rsid w:val="0022628E"/>
    <w:rsid w:val="0022789D"/>
    <w:rsid w:val="00230765"/>
    <w:rsid w:val="00230D18"/>
    <w:rsid w:val="002319E4"/>
    <w:rsid w:val="00233216"/>
    <w:rsid w:val="00235632"/>
    <w:rsid w:val="00235872"/>
    <w:rsid w:val="00236F37"/>
    <w:rsid w:val="00237769"/>
    <w:rsid w:val="00240B5B"/>
    <w:rsid w:val="00241559"/>
    <w:rsid w:val="00242007"/>
    <w:rsid w:val="002435B3"/>
    <w:rsid w:val="002450FA"/>
    <w:rsid w:val="0024512C"/>
    <w:rsid w:val="002458EB"/>
    <w:rsid w:val="00245ECB"/>
    <w:rsid w:val="002476E7"/>
    <w:rsid w:val="00247D76"/>
    <w:rsid w:val="002500C8"/>
    <w:rsid w:val="00252C43"/>
    <w:rsid w:val="00255972"/>
    <w:rsid w:val="00256F25"/>
    <w:rsid w:val="002571A2"/>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4360"/>
    <w:rsid w:val="00286ACD"/>
    <w:rsid w:val="00287410"/>
    <w:rsid w:val="00287838"/>
    <w:rsid w:val="002907B5"/>
    <w:rsid w:val="00291EB8"/>
    <w:rsid w:val="00292EB7"/>
    <w:rsid w:val="0029382C"/>
    <w:rsid w:val="0029426D"/>
    <w:rsid w:val="00294CF2"/>
    <w:rsid w:val="00296227"/>
    <w:rsid w:val="00296F44"/>
    <w:rsid w:val="00297724"/>
    <w:rsid w:val="0029777D"/>
    <w:rsid w:val="002A055E"/>
    <w:rsid w:val="002A0758"/>
    <w:rsid w:val="002A1D4E"/>
    <w:rsid w:val="002A279C"/>
    <w:rsid w:val="002A2869"/>
    <w:rsid w:val="002A3498"/>
    <w:rsid w:val="002A34CA"/>
    <w:rsid w:val="002A65A2"/>
    <w:rsid w:val="002B0FA8"/>
    <w:rsid w:val="002B24D6"/>
    <w:rsid w:val="002B36D4"/>
    <w:rsid w:val="002B3B30"/>
    <w:rsid w:val="002B51C2"/>
    <w:rsid w:val="002C1C51"/>
    <w:rsid w:val="002C23C3"/>
    <w:rsid w:val="002C41E6"/>
    <w:rsid w:val="002C4217"/>
    <w:rsid w:val="002C4D67"/>
    <w:rsid w:val="002C531E"/>
    <w:rsid w:val="002C6B50"/>
    <w:rsid w:val="002D071A"/>
    <w:rsid w:val="002D2AC4"/>
    <w:rsid w:val="002D34B2"/>
    <w:rsid w:val="002D47DB"/>
    <w:rsid w:val="002D48B0"/>
    <w:rsid w:val="002D5160"/>
    <w:rsid w:val="002D5B37"/>
    <w:rsid w:val="002D7637"/>
    <w:rsid w:val="002E0A64"/>
    <w:rsid w:val="002E17F2"/>
    <w:rsid w:val="002E33F0"/>
    <w:rsid w:val="002E3C9E"/>
    <w:rsid w:val="002E3D29"/>
    <w:rsid w:val="002E3DEF"/>
    <w:rsid w:val="002E4408"/>
    <w:rsid w:val="002E5322"/>
    <w:rsid w:val="002E55AB"/>
    <w:rsid w:val="002E79C5"/>
    <w:rsid w:val="002E7CAE"/>
    <w:rsid w:val="002F0DCE"/>
    <w:rsid w:val="002F1996"/>
    <w:rsid w:val="002F2771"/>
    <w:rsid w:val="002F37A9"/>
    <w:rsid w:val="00300D98"/>
    <w:rsid w:val="00301CE6"/>
    <w:rsid w:val="0030256B"/>
    <w:rsid w:val="003025C8"/>
    <w:rsid w:val="003029AC"/>
    <w:rsid w:val="00303FBE"/>
    <w:rsid w:val="0030493D"/>
    <w:rsid w:val="0030501F"/>
    <w:rsid w:val="00307BA1"/>
    <w:rsid w:val="00311702"/>
    <w:rsid w:val="00311E82"/>
    <w:rsid w:val="003121DF"/>
    <w:rsid w:val="00313FD6"/>
    <w:rsid w:val="003143BD"/>
    <w:rsid w:val="003144BE"/>
    <w:rsid w:val="00314718"/>
    <w:rsid w:val="00315363"/>
    <w:rsid w:val="003203ED"/>
    <w:rsid w:val="0032208D"/>
    <w:rsid w:val="00322C9F"/>
    <w:rsid w:val="003248CB"/>
    <w:rsid w:val="00324D23"/>
    <w:rsid w:val="00325D49"/>
    <w:rsid w:val="00330482"/>
    <w:rsid w:val="00330A3F"/>
    <w:rsid w:val="003311B8"/>
    <w:rsid w:val="0033141A"/>
    <w:rsid w:val="00331751"/>
    <w:rsid w:val="00334579"/>
    <w:rsid w:val="00335858"/>
    <w:rsid w:val="00336BDA"/>
    <w:rsid w:val="00342A5C"/>
    <w:rsid w:val="00342BD7"/>
    <w:rsid w:val="00343154"/>
    <w:rsid w:val="003432BE"/>
    <w:rsid w:val="00345C09"/>
    <w:rsid w:val="00346DB5"/>
    <w:rsid w:val="003477B1"/>
    <w:rsid w:val="0035025D"/>
    <w:rsid w:val="003508EE"/>
    <w:rsid w:val="00353503"/>
    <w:rsid w:val="0035398D"/>
    <w:rsid w:val="0035419E"/>
    <w:rsid w:val="00356578"/>
    <w:rsid w:val="00357163"/>
    <w:rsid w:val="00357380"/>
    <w:rsid w:val="003602D9"/>
    <w:rsid w:val="003604CE"/>
    <w:rsid w:val="0036481C"/>
    <w:rsid w:val="003657D4"/>
    <w:rsid w:val="00366407"/>
    <w:rsid w:val="00370E47"/>
    <w:rsid w:val="00371D92"/>
    <w:rsid w:val="00373B39"/>
    <w:rsid w:val="003742AC"/>
    <w:rsid w:val="00377409"/>
    <w:rsid w:val="00377CE1"/>
    <w:rsid w:val="0038498E"/>
    <w:rsid w:val="00385BF0"/>
    <w:rsid w:val="003910FC"/>
    <w:rsid w:val="003917C1"/>
    <w:rsid w:val="003939FF"/>
    <w:rsid w:val="00395873"/>
    <w:rsid w:val="0039776A"/>
    <w:rsid w:val="003A15E6"/>
    <w:rsid w:val="003A2223"/>
    <w:rsid w:val="003A2A0F"/>
    <w:rsid w:val="003A3BFB"/>
    <w:rsid w:val="003A45A1"/>
    <w:rsid w:val="003A50EA"/>
    <w:rsid w:val="003A55F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0632"/>
    <w:rsid w:val="003C11C8"/>
    <w:rsid w:val="003C1475"/>
    <w:rsid w:val="003C2702"/>
    <w:rsid w:val="003C40DF"/>
    <w:rsid w:val="003C6B28"/>
    <w:rsid w:val="003C6D1C"/>
    <w:rsid w:val="003C71EC"/>
    <w:rsid w:val="003C731D"/>
    <w:rsid w:val="003C7806"/>
    <w:rsid w:val="003C7BF7"/>
    <w:rsid w:val="003D109F"/>
    <w:rsid w:val="003D12AF"/>
    <w:rsid w:val="003D222B"/>
    <w:rsid w:val="003D2478"/>
    <w:rsid w:val="003D2582"/>
    <w:rsid w:val="003D2716"/>
    <w:rsid w:val="003D3C45"/>
    <w:rsid w:val="003D4705"/>
    <w:rsid w:val="003D4FEC"/>
    <w:rsid w:val="003D5B1F"/>
    <w:rsid w:val="003D74CA"/>
    <w:rsid w:val="003D755E"/>
    <w:rsid w:val="003E15FA"/>
    <w:rsid w:val="003E19D5"/>
    <w:rsid w:val="003E25E1"/>
    <w:rsid w:val="003E55E4"/>
    <w:rsid w:val="003E608A"/>
    <w:rsid w:val="003E74E3"/>
    <w:rsid w:val="003F05C7"/>
    <w:rsid w:val="003F2CD4"/>
    <w:rsid w:val="003F6A93"/>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5AD"/>
    <w:rsid w:val="004138B9"/>
    <w:rsid w:val="00413AAC"/>
    <w:rsid w:val="00413E92"/>
    <w:rsid w:val="00415F28"/>
    <w:rsid w:val="00420DB2"/>
    <w:rsid w:val="00421105"/>
    <w:rsid w:val="00421CAD"/>
    <w:rsid w:val="00422AA4"/>
    <w:rsid w:val="00422EA5"/>
    <w:rsid w:val="00423034"/>
    <w:rsid w:val="004242F4"/>
    <w:rsid w:val="00427248"/>
    <w:rsid w:val="00427CB1"/>
    <w:rsid w:val="00431528"/>
    <w:rsid w:val="00431F4B"/>
    <w:rsid w:val="004352C0"/>
    <w:rsid w:val="00437248"/>
    <w:rsid w:val="00437447"/>
    <w:rsid w:val="00441A92"/>
    <w:rsid w:val="004431DC"/>
    <w:rsid w:val="00444F56"/>
    <w:rsid w:val="00445E59"/>
    <w:rsid w:val="00446488"/>
    <w:rsid w:val="004517AA"/>
    <w:rsid w:val="00452CAC"/>
    <w:rsid w:val="00453E3C"/>
    <w:rsid w:val="00455F6F"/>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001"/>
    <w:rsid w:val="0047556B"/>
    <w:rsid w:val="00476597"/>
    <w:rsid w:val="00477768"/>
    <w:rsid w:val="00477D15"/>
    <w:rsid w:val="004809E6"/>
    <w:rsid w:val="00490B6F"/>
    <w:rsid w:val="00492BC5"/>
    <w:rsid w:val="00492E80"/>
    <w:rsid w:val="00494B14"/>
    <w:rsid w:val="00495C59"/>
    <w:rsid w:val="004964F1"/>
    <w:rsid w:val="004A110D"/>
    <w:rsid w:val="004A16BC"/>
    <w:rsid w:val="004A1A0C"/>
    <w:rsid w:val="004A2B94"/>
    <w:rsid w:val="004B2219"/>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4DC9"/>
    <w:rsid w:val="004E4EC9"/>
    <w:rsid w:val="004E4F6A"/>
    <w:rsid w:val="004E56DC"/>
    <w:rsid w:val="004E70BF"/>
    <w:rsid w:val="004E7105"/>
    <w:rsid w:val="004E76F4"/>
    <w:rsid w:val="004F0B4E"/>
    <w:rsid w:val="004F0B6C"/>
    <w:rsid w:val="004F2078"/>
    <w:rsid w:val="004F351C"/>
    <w:rsid w:val="004F4DA3"/>
    <w:rsid w:val="004F4FB3"/>
    <w:rsid w:val="005035B7"/>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0FA"/>
    <w:rsid w:val="005229D0"/>
    <w:rsid w:val="00522D86"/>
    <w:rsid w:val="00522EEC"/>
    <w:rsid w:val="00523CBA"/>
    <w:rsid w:val="00523CC7"/>
    <w:rsid w:val="005248B9"/>
    <w:rsid w:val="005249C6"/>
    <w:rsid w:val="005272ED"/>
    <w:rsid w:val="00531A58"/>
    <w:rsid w:val="0053354B"/>
    <w:rsid w:val="00533F07"/>
    <w:rsid w:val="00534B59"/>
    <w:rsid w:val="00535AFE"/>
    <w:rsid w:val="00536759"/>
    <w:rsid w:val="00537C62"/>
    <w:rsid w:val="00537F39"/>
    <w:rsid w:val="00543E7B"/>
    <w:rsid w:val="005450EF"/>
    <w:rsid w:val="005459F7"/>
    <w:rsid w:val="005468C0"/>
    <w:rsid w:val="00546970"/>
    <w:rsid w:val="00547088"/>
    <w:rsid w:val="005470EB"/>
    <w:rsid w:val="005503F4"/>
    <w:rsid w:val="005536B8"/>
    <w:rsid w:val="00554CB7"/>
    <w:rsid w:val="00554E19"/>
    <w:rsid w:val="00556187"/>
    <w:rsid w:val="005562E1"/>
    <w:rsid w:val="005569D6"/>
    <w:rsid w:val="0055729D"/>
    <w:rsid w:val="0056054F"/>
    <w:rsid w:val="0056121F"/>
    <w:rsid w:val="00563732"/>
    <w:rsid w:val="00565E6D"/>
    <w:rsid w:val="00570366"/>
    <w:rsid w:val="00571D80"/>
    <w:rsid w:val="005723B9"/>
    <w:rsid w:val="00572505"/>
    <w:rsid w:val="0057586F"/>
    <w:rsid w:val="00575951"/>
    <w:rsid w:val="00575F93"/>
    <w:rsid w:val="00582809"/>
    <w:rsid w:val="005833CF"/>
    <w:rsid w:val="005842FF"/>
    <w:rsid w:val="00585E44"/>
    <w:rsid w:val="00586070"/>
    <w:rsid w:val="0058798C"/>
    <w:rsid w:val="005900FA"/>
    <w:rsid w:val="00590AFA"/>
    <w:rsid w:val="005922BD"/>
    <w:rsid w:val="00592F6A"/>
    <w:rsid w:val="00593353"/>
    <w:rsid w:val="005935A4"/>
    <w:rsid w:val="005948C2"/>
    <w:rsid w:val="00594D5D"/>
    <w:rsid w:val="00595DCA"/>
    <w:rsid w:val="0059678A"/>
    <w:rsid w:val="0059779B"/>
    <w:rsid w:val="005A0086"/>
    <w:rsid w:val="005A0859"/>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0CB0"/>
    <w:rsid w:val="005C2EC6"/>
    <w:rsid w:val="005C7263"/>
    <w:rsid w:val="005C74FB"/>
    <w:rsid w:val="005D0A0A"/>
    <w:rsid w:val="005D1602"/>
    <w:rsid w:val="005D4B8E"/>
    <w:rsid w:val="005E0837"/>
    <w:rsid w:val="005E2D84"/>
    <w:rsid w:val="005E385F"/>
    <w:rsid w:val="005E5B81"/>
    <w:rsid w:val="005E6D34"/>
    <w:rsid w:val="005F2CB1"/>
    <w:rsid w:val="005F3025"/>
    <w:rsid w:val="005F5AEE"/>
    <w:rsid w:val="005F618C"/>
    <w:rsid w:val="005F6E68"/>
    <w:rsid w:val="005F70BD"/>
    <w:rsid w:val="005F7AF7"/>
    <w:rsid w:val="005F7D5F"/>
    <w:rsid w:val="005F7FEA"/>
    <w:rsid w:val="00600180"/>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1380"/>
    <w:rsid w:val="0063284C"/>
    <w:rsid w:val="00636398"/>
    <w:rsid w:val="006368D3"/>
    <w:rsid w:val="006377EC"/>
    <w:rsid w:val="0064151F"/>
    <w:rsid w:val="00641533"/>
    <w:rsid w:val="00641F34"/>
    <w:rsid w:val="0064208D"/>
    <w:rsid w:val="006420C2"/>
    <w:rsid w:val="00643475"/>
    <w:rsid w:val="0064396A"/>
    <w:rsid w:val="00644ABE"/>
    <w:rsid w:val="00645845"/>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7EE7"/>
    <w:rsid w:val="0067035F"/>
    <w:rsid w:val="00670922"/>
    <w:rsid w:val="00670BE1"/>
    <w:rsid w:val="0067218E"/>
    <w:rsid w:val="0067218F"/>
    <w:rsid w:val="006741F2"/>
    <w:rsid w:val="00674B29"/>
    <w:rsid w:val="00674BA7"/>
    <w:rsid w:val="00674CC3"/>
    <w:rsid w:val="0067517F"/>
    <w:rsid w:val="00675C72"/>
    <w:rsid w:val="006771F9"/>
    <w:rsid w:val="006776D7"/>
    <w:rsid w:val="00680673"/>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A46"/>
    <w:rsid w:val="006A5E28"/>
    <w:rsid w:val="006A62A1"/>
    <w:rsid w:val="006A697B"/>
    <w:rsid w:val="006A7AFF"/>
    <w:rsid w:val="006B1816"/>
    <w:rsid w:val="006B1FC6"/>
    <w:rsid w:val="006B2099"/>
    <w:rsid w:val="006B235B"/>
    <w:rsid w:val="006B2BFD"/>
    <w:rsid w:val="006B2EE7"/>
    <w:rsid w:val="006B50CF"/>
    <w:rsid w:val="006B5D79"/>
    <w:rsid w:val="006B6890"/>
    <w:rsid w:val="006C01B5"/>
    <w:rsid w:val="006C03B8"/>
    <w:rsid w:val="006C0AE8"/>
    <w:rsid w:val="006C3AAB"/>
    <w:rsid w:val="006C4969"/>
    <w:rsid w:val="006C59D4"/>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771"/>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14B3"/>
    <w:rsid w:val="0071200B"/>
    <w:rsid w:val="00712287"/>
    <w:rsid w:val="00712772"/>
    <w:rsid w:val="00712F1F"/>
    <w:rsid w:val="007148D3"/>
    <w:rsid w:val="00714BB8"/>
    <w:rsid w:val="00715B9A"/>
    <w:rsid w:val="00716902"/>
    <w:rsid w:val="00721A3B"/>
    <w:rsid w:val="00721F93"/>
    <w:rsid w:val="0072347E"/>
    <w:rsid w:val="00724C06"/>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0E4"/>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857AD"/>
    <w:rsid w:val="0079246C"/>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235"/>
    <w:rsid w:val="007C35C1"/>
    <w:rsid w:val="007C3D18"/>
    <w:rsid w:val="007C4F51"/>
    <w:rsid w:val="007C60BF"/>
    <w:rsid w:val="007C66EE"/>
    <w:rsid w:val="007C6972"/>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90F"/>
    <w:rsid w:val="00803FAE"/>
    <w:rsid w:val="0080605F"/>
    <w:rsid w:val="00807786"/>
    <w:rsid w:val="0081078A"/>
    <w:rsid w:val="00810C6B"/>
    <w:rsid w:val="00811FCB"/>
    <w:rsid w:val="0081295C"/>
    <w:rsid w:val="008130D5"/>
    <w:rsid w:val="008158D6"/>
    <w:rsid w:val="00815DFC"/>
    <w:rsid w:val="00816283"/>
    <w:rsid w:val="008165E4"/>
    <w:rsid w:val="008168D4"/>
    <w:rsid w:val="00817196"/>
    <w:rsid w:val="008203BA"/>
    <w:rsid w:val="008212E4"/>
    <w:rsid w:val="00821CC5"/>
    <w:rsid w:val="008235DB"/>
    <w:rsid w:val="00823B5A"/>
    <w:rsid w:val="00824AB4"/>
    <w:rsid w:val="00825C42"/>
    <w:rsid w:val="00825D25"/>
    <w:rsid w:val="00826984"/>
    <w:rsid w:val="00826D30"/>
    <w:rsid w:val="00827D6F"/>
    <w:rsid w:val="00830263"/>
    <w:rsid w:val="0083312E"/>
    <w:rsid w:val="00835492"/>
    <w:rsid w:val="00835D76"/>
    <w:rsid w:val="00835E68"/>
    <w:rsid w:val="00836730"/>
    <w:rsid w:val="008370ED"/>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36D4"/>
    <w:rsid w:val="0086507B"/>
    <w:rsid w:val="008677FD"/>
    <w:rsid w:val="008706D4"/>
    <w:rsid w:val="00870F8A"/>
    <w:rsid w:val="008719A4"/>
    <w:rsid w:val="00871D23"/>
    <w:rsid w:val="00871F8F"/>
    <w:rsid w:val="00873091"/>
    <w:rsid w:val="0087329D"/>
    <w:rsid w:val="008736E1"/>
    <w:rsid w:val="00874312"/>
    <w:rsid w:val="0087437C"/>
    <w:rsid w:val="008754CE"/>
    <w:rsid w:val="00875CD7"/>
    <w:rsid w:val="00876632"/>
    <w:rsid w:val="008769CC"/>
    <w:rsid w:val="00876B4D"/>
    <w:rsid w:val="00877DC2"/>
    <w:rsid w:val="00877F18"/>
    <w:rsid w:val="008828D4"/>
    <w:rsid w:val="008859CD"/>
    <w:rsid w:val="00887CCA"/>
    <w:rsid w:val="008903E5"/>
    <w:rsid w:val="008941E3"/>
    <w:rsid w:val="00894A88"/>
    <w:rsid w:val="00894EA1"/>
    <w:rsid w:val="00895386"/>
    <w:rsid w:val="0089640C"/>
    <w:rsid w:val="008A0181"/>
    <w:rsid w:val="008A1898"/>
    <w:rsid w:val="008A21FF"/>
    <w:rsid w:val="008A2CE2"/>
    <w:rsid w:val="008A2F55"/>
    <w:rsid w:val="008A30AC"/>
    <w:rsid w:val="008A44B8"/>
    <w:rsid w:val="008A48EB"/>
    <w:rsid w:val="008A51A8"/>
    <w:rsid w:val="008A54C7"/>
    <w:rsid w:val="008A77D8"/>
    <w:rsid w:val="008B0483"/>
    <w:rsid w:val="008B120C"/>
    <w:rsid w:val="008B39A7"/>
    <w:rsid w:val="008B47FC"/>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47F1"/>
    <w:rsid w:val="008D6D1A"/>
    <w:rsid w:val="008D7789"/>
    <w:rsid w:val="008E065E"/>
    <w:rsid w:val="008E0927"/>
    <w:rsid w:val="008E1909"/>
    <w:rsid w:val="008E3435"/>
    <w:rsid w:val="008E5318"/>
    <w:rsid w:val="008E5F7E"/>
    <w:rsid w:val="008E665F"/>
    <w:rsid w:val="008E6F0A"/>
    <w:rsid w:val="008E79A5"/>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348"/>
    <w:rsid w:val="00906939"/>
    <w:rsid w:val="009108C4"/>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16A6"/>
    <w:rsid w:val="00943742"/>
    <w:rsid w:val="00943774"/>
    <w:rsid w:val="00943FB9"/>
    <w:rsid w:val="009449A7"/>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0419"/>
    <w:rsid w:val="00961921"/>
    <w:rsid w:val="0096242A"/>
    <w:rsid w:val="00962FEC"/>
    <w:rsid w:val="0096430A"/>
    <w:rsid w:val="0096554B"/>
    <w:rsid w:val="0096584A"/>
    <w:rsid w:val="00967FCD"/>
    <w:rsid w:val="00971F08"/>
    <w:rsid w:val="0097215A"/>
    <w:rsid w:val="00972FFF"/>
    <w:rsid w:val="00973F65"/>
    <w:rsid w:val="0097603D"/>
    <w:rsid w:val="00976949"/>
    <w:rsid w:val="00980477"/>
    <w:rsid w:val="0098458C"/>
    <w:rsid w:val="00985253"/>
    <w:rsid w:val="009853B3"/>
    <w:rsid w:val="00990630"/>
    <w:rsid w:val="00991209"/>
    <w:rsid w:val="00991761"/>
    <w:rsid w:val="00992B36"/>
    <w:rsid w:val="0099352F"/>
    <w:rsid w:val="00994DCA"/>
    <w:rsid w:val="00994E1D"/>
    <w:rsid w:val="00995163"/>
    <w:rsid w:val="009960EC"/>
    <w:rsid w:val="0099622D"/>
    <w:rsid w:val="009970DD"/>
    <w:rsid w:val="009A0FBA"/>
    <w:rsid w:val="009A1601"/>
    <w:rsid w:val="009A3BB6"/>
    <w:rsid w:val="009A462D"/>
    <w:rsid w:val="009A4DF2"/>
    <w:rsid w:val="009A4E22"/>
    <w:rsid w:val="009A5CBA"/>
    <w:rsid w:val="009A5CFC"/>
    <w:rsid w:val="009A6387"/>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6363"/>
    <w:rsid w:val="009C71E2"/>
    <w:rsid w:val="009D4FF0"/>
    <w:rsid w:val="009D5508"/>
    <w:rsid w:val="009D63B4"/>
    <w:rsid w:val="009D703C"/>
    <w:rsid w:val="009D718F"/>
    <w:rsid w:val="009E068F"/>
    <w:rsid w:val="009E11D5"/>
    <w:rsid w:val="009E14E0"/>
    <w:rsid w:val="009E1A43"/>
    <w:rsid w:val="009E21BE"/>
    <w:rsid w:val="009E35DB"/>
    <w:rsid w:val="009E47A3"/>
    <w:rsid w:val="009E6E5C"/>
    <w:rsid w:val="009E7FD6"/>
    <w:rsid w:val="009F08F3"/>
    <w:rsid w:val="009F18D4"/>
    <w:rsid w:val="009F344F"/>
    <w:rsid w:val="009F3977"/>
    <w:rsid w:val="009F5A11"/>
    <w:rsid w:val="009F6B6A"/>
    <w:rsid w:val="00A0038A"/>
    <w:rsid w:val="00A0175E"/>
    <w:rsid w:val="00A02B21"/>
    <w:rsid w:val="00A02FC8"/>
    <w:rsid w:val="00A031D8"/>
    <w:rsid w:val="00A03FA1"/>
    <w:rsid w:val="00A048A8"/>
    <w:rsid w:val="00A04F49"/>
    <w:rsid w:val="00A12FF4"/>
    <w:rsid w:val="00A13B2A"/>
    <w:rsid w:val="00A13E54"/>
    <w:rsid w:val="00A155E9"/>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51566"/>
    <w:rsid w:val="00A520FB"/>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EE"/>
    <w:rsid w:val="00AA0FFC"/>
    <w:rsid w:val="00AA1ED6"/>
    <w:rsid w:val="00AA34C3"/>
    <w:rsid w:val="00AA4CD2"/>
    <w:rsid w:val="00AA51D6"/>
    <w:rsid w:val="00AA644E"/>
    <w:rsid w:val="00AB054A"/>
    <w:rsid w:val="00AB0BC8"/>
    <w:rsid w:val="00AB11CA"/>
    <w:rsid w:val="00AB14D9"/>
    <w:rsid w:val="00AB2C12"/>
    <w:rsid w:val="00AB4AB8"/>
    <w:rsid w:val="00AB4FA1"/>
    <w:rsid w:val="00AB655E"/>
    <w:rsid w:val="00AC007F"/>
    <w:rsid w:val="00AC13F8"/>
    <w:rsid w:val="00AC1506"/>
    <w:rsid w:val="00AC1CBD"/>
    <w:rsid w:val="00AC203A"/>
    <w:rsid w:val="00AC2ECD"/>
    <w:rsid w:val="00AC3119"/>
    <w:rsid w:val="00AC34AB"/>
    <w:rsid w:val="00AC3A45"/>
    <w:rsid w:val="00AC425E"/>
    <w:rsid w:val="00AC49FB"/>
    <w:rsid w:val="00AC5A10"/>
    <w:rsid w:val="00AC70C6"/>
    <w:rsid w:val="00AD0AA3"/>
    <w:rsid w:val="00AD20A0"/>
    <w:rsid w:val="00AD2EC3"/>
    <w:rsid w:val="00AD2ED0"/>
    <w:rsid w:val="00AD3F94"/>
    <w:rsid w:val="00AD4A5A"/>
    <w:rsid w:val="00AE27AC"/>
    <w:rsid w:val="00AE40E0"/>
    <w:rsid w:val="00AE4DBA"/>
    <w:rsid w:val="00AE4F07"/>
    <w:rsid w:val="00AE76DA"/>
    <w:rsid w:val="00AF034F"/>
    <w:rsid w:val="00AF1C5D"/>
    <w:rsid w:val="00AF2640"/>
    <w:rsid w:val="00AF42D7"/>
    <w:rsid w:val="00AF6FDD"/>
    <w:rsid w:val="00B004FC"/>
    <w:rsid w:val="00B006FE"/>
    <w:rsid w:val="00B007CB"/>
    <w:rsid w:val="00B010D2"/>
    <w:rsid w:val="00B0246B"/>
    <w:rsid w:val="00B027E9"/>
    <w:rsid w:val="00B02AA9"/>
    <w:rsid w:val="00B02FA3"/>
    <w:rsid w:val="00B05084"/>
    <w:rsid w:val="00B06EF5"/>
    <w:rsid w:val="00B07556"/>
    <w:rsid w:val="00B140DC"/>
    <w:rsid w:val="00B14C94"/>
    <w:rsid w:val="00B157F9"/>
    <w:rsid w:val="00B15D3B"/>
    <w:rsid w:val="00B160FF"/>
    <w:rsid w:val="00B20256"/>
    <w:rsid w:val="00B20A44"/>
    <w:rsid w:val="00B20C2F"/>
    <w:rsid w:val="00B20D09"/>
    <w:rsid w:val="00B21D0B"/>
    <w:rsid w:val="00B22836"/>
    <w:rsid w:val="00B22A3E"/>
    <w:rsid w:val="00B22D34"/>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2691"/>
    <w:rsid w:val="00B548B7"/>
    <w:rsid w:val="00B55B6C"/>
    <w:rsid w:val="00B567F1"/>
    <w:rsid w:val="00B63A37"/>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1683"/>
    <w:rsid w:val="00B927A3"/>
    <w:rsid w:val="00B93B59"/>
    <w:rsid w:val="00B93FDC"/>
    <w:rsid w:val="00B9406A"/>
    <w:rsid w:val="00B94E10"/>
    <w:rsid w:val="00BA210D"/>
    <w:rsid w:val="00BA2280"/>
    <w:rsid w:val="00BA2A08"/>
    <w:rsid w:val="00BA4D40"/>
    <w:rsid w:val="00BA5598"/>
    <w:rsid w:val="00BA56D2"/>
    <w:rsid w:val="00BA76E0"/>
    <w:rsid w:val="00BB0D25"/>
    <w:rsid w:val="00BB2A25"/>
    <w:rsid w:val="00BB51E9"/>
    <w:rsid w:val="00BB5BC5"/>
    <w:rsid w:val="00BC0FDC"/>
    <w:rsid w:val="00BC3053"/>
    <w:rsid w:val="00BC4D2E"/>
    <w:rsid w:val="00BC550A"/>
    <w:rsid w:val="00BC6262"/>
    <w:rsid w:val="00BC7DC8"/>
    <w:rsid w:val="00BD48AC"/>
    <w:rsid w:val="00BD5F1A"/>
    <w:rsid w:val="00BD7C3C"/>
    <w:rsid w:val="00BE1234"/>
    <w:rsid w:val="00BE18B9"/>
    <w:rsid w:val="00BE254E"/>
    <w:rsid w:val="00BE2FA6"/>
    <w:rsid w:val="00BE333F"/>
    <w:rsid w:val="00BE4191"/>
    <w:rsid w:val="00BE54CD"/>
    <w:rsid w:val="00BE5BAD"/>
    <w:rsid w:val="00BE63EB"/>
    <w:rsid w:val="00BE6495"/>
    <w:rsid w:val="00BE65D1"/>
    <w:rsid w:val="00BE7406"/>
    <w:rsid w:val="00BE745A"/>
    <w:rsid w:val="00BE7603"/>
    <w:rsid w:val="00BF145A"/>
    <w:rsid w:val="00BF3279"/>
    <w:rsid w:val="00BF74C7"/>
    <w:rsid w:val="00C0018F"/>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2F99"/>
    <w:rsid w:val="00C2381C"/>
    <w:rsid w:val="00C23BA7"/>
    <w:rsid w:val="00C249F7"/>
    <w:rsid w:val="00C24AE0"/>
    <w:rsid w:val="00C256A6"/>
    <w:rsid w:val="00C279B5"/>
    <w:rsid w:val="00C27A4A"/>
    <w:rsid w:val="00C27C45"/>
    <w:rsid w:val="00C31F10"/>
    <w:rsid w:val="00C3204D"/>
    <w:rsid w:val="00C33107"/>
    <w:rsid w:val="00C341BD"/>
    <w:rsid w:val="00C361F6"/>
    <w:rsid w:val="00C3719D"/>
    <w:rsid w:val="00C37529"/>
    <w:rsid w:val="00C37671"/>
    <w:rsid w:val="00C37CB2"/>
    <w:rsid w:val="00C41F99"/>
    <w:rsid w:val="00C42056"/>
    <w:rsid w:val="00C44C36"/>
    <w:rsid w:val="00C46F99"/>
    <w:rsid w:val="00C473A5"/>
    <w:rsid w:val="00C54995"/>
    <w:rsid w:val="00C54D41"/>
    <w:rsid w:val="00C562C3"/>
    <w:rsid w:val="00C57BD9"/>
    <w:rsid w:val="00C60357"/>
    <w:rsid w:val="00C60783"/>
    <w:rsid w:val="00C64672"/>
    <w:rsid w:val="00C66542"/>
    <w:rsid w:val="00C67845"/>
    <w:rsid w:val="00C70697"/>
    <w:rsid w:val="00C72093"/>
    <w:rsid w:val="00C72EF4"/>
    <w:rsid w:val="00C73CD1"/>
    <w:rsid w:val="00C744FE"/>
    <w:rsid w:val="00C75D2F"/>
    <w:rsid w:val="00C767BE"/>
    <w:rsid w:val="00C76888"/>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61B4"/>
    <w:rsid w:val="00CB1F63"/>
    <w:rsid w:val="00CB4719"/>
    <w:rsid w:val="00CB6EED"/>
    <w:rsid w:val="00CB7170"/>
    <w:rsid w:val="00CC040E"/>
    <w:rsid w:val="00CC111F"/>
    <w:rsid w:val="00CC2011"/>
    <w:rsid w:val="00CC3EA0"/>
    <w:rsid w:val="00CC65B4"/>
    <w:rsid w:val="00CC6D4A"/>
    <w:rsid w:val="00CC7571"/>
    <w:rsid w:val="00CC79BF"/>
    <w:rsid w:val="00CC7B45"/>
    <w:rsid w:val="00CC7FD8"/>
    <w:rsid w:val="00CD1188"/>
    <w:rsid w:val="00CD2553"/>
    <w:rsid w:val="00CD25D3"/>
    <w:rsid w:val="00CD2ED1"/>
    <w:rsid w:val="00CD337B"/>
    <w:rsid w:val="00CD4177"/>
    <w:rsid w:val="00CD43D6"/>
    <w:rsid w:val="00CD4644"/>
    <w:rsid w:val="00CD501E"/>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523E"/>
    <w:rsid w:val="00CF625B"/>
    <w:rsid w:val="00CF687E"/>
    <w:rsid w:val="00D00874"/>
    <w:rsid w:val="00D00B4D"/>
    <w:rsid w:val="00D01780"/>
    <w:rsid w:val="00D0349B"/>
    <w:rsid w:val="00D10249"/>
    <w:rsid w:val="00D105D5"/>
    <w:rsid w:val="00D11139"/>
    <w:rsid w:val="00D115C3"/>
    <w:rsid w:val="00D11897"/>
    <w:rsid w:val="00D1277F"/>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2AC"/>
    <w:rsid w:val="00D40B33"/>
    <w:rsid w:val="00D4318F"/>
    <w:rsid w:val="00D438BF"/>
    <w:rsid w:val="00D440F8"/>
    <w:rsid w:val="00D44FB3"/>
    <w:rsid w:val="00D47D80"/>
    <w:rsid w:val="00D546FF"/>
    <w:rsid w:val="00D55AD5"/>
    <w:rsid w:val="00D56B29"/>
    <w:rsid w:val="00D576CA"/>
    <w:rsid w:val="00D606C4"/>
    <w:rsid w:val="00D61AF5"/>
    <w:rsid w:val="00D6308F"/>
    <w:rsid w:val="00D634E5"/>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5DE8"/>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B5FCB"/>
    <w:rsid w:val="00DC008A"/>
    <w:rsid w:val="00DC2D36"/>
    <w:rsid w:val="00DC2F7F"/>
    <w:rsid w:val="00DC5101"/>
    <w:rsid w:val="00DC53EF"/>
    <w:rsid w:val="00DC643D"/>
    <w:rsid w:val="00DD33A0"/>
    <w:rsid w:val="00DD6A3F"/>
    <w:rsid w:val="00DE0CDB"/>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57D4"/>
    <w:rsid w:val="00E3723A"/>
    <w:rsid w:val="00E37860"/>
    <w:rsid w:val="00E40929"/>
    <w:rsid w:val="00E425B0"/>
    <w:rsid w:val="00E4450F"/>
    <w:rsid w:val="00E446F1"/>
    <w:rsid w:val="00E45ABE"/>
    <w:rsid w:val="00E46886"/>
    <w:rsid w:val="00E47AEF"/>
    <w:rsid w:val="00E53771"/>
    <w:rsid w:val="00E53B75"/>
    <w:rsid w:val="00E54E3B"/>
    <w:rsid w:val="00E57565"/>
    <w:rsid w:val="00E63838"/>
    <w:rsid w:val="00E64434"/>
    <w:rsid w:val="00E64D58"/>
    <w:rsid w:val="00E67162"/>
    <w:rsid w:val="00E67C51"/>
    <w:rsid w:val="00E704C7"/>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06F"/>
    <w:rsid w:val="00EB04DD"/>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130F"/>
    <w:rsid w:val="00EE28A4"/>
    <w:rsid w:val="00EE2DAB"/>
    <w:rsid w:val="00EE436A"/>
    <w:rsid w:val="00EE63F5"/>
    <w:rsid w:val="00EE6E6E"/>
    <w:rsid w:val="00EE797F"/>
    <w:rsid w:val="00EF0FE5"/>
    <w:rsid w:val="00EF18FE"/>
    <w:rsid w:val="00EF2DB6"/>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53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203"/>
    <w:rsid w:val="00F607C5"/>
    <w:rsid w:val="00F60D10"/>
    <w:rsid w:val="00F60DEA"/>
    <w:rsid w:val="00F62B3C"/>
    <w:rsid w:val="00F6302A"/>
    <w:rsid w:val="00F632F5"/>
    <w:rsid w:val="00F63950"/>
    <w:rsid w:val="00F64C2B"/>
    <w:rsid w:val="00F651BE"/>
    <w:rsid w:val="00F65502"/>
    <w:rsid w:val="00F67F53"/>
    <w:rsid w:val="00F703BE"/>
    <w:rsid w:val="00F71364"/>
    <w:rsid w:val="00F714A4"/>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9DB"/>
    <w:rsid w:val="00F95BA5"/>
    <w:rsid w:val="00F96385"/>
    <w:rsid w:val="00F96985"/>
    <w:rsid w:val="00F9709E"/>
    <w:rsid w:val="00F97368"/>
    <w:rsid w:val="00F97838"/>
    <w:rsid w:val="00F97B7C"/>
    <w:rsid w:val="00FA21E1"/>
    <w:rsid w:val="00FA2BB3"/>
    <w:rsid w:val="00FA3645"/>
    <w:rsid w:val="00FA5425"/>
    <w:rsid w:val="00FB2763"/>
    <w:rsid w:val="00FB2FA9"/>
    <w:rsid w:val="00FB41E5"/>
    <w:rsid w:val="00FB4C80"/>
    <w:rsid w:val="00FB6A6A"/>
    <w:rsid w:val="00FC0B44"/>
    <w:rsid w:val="00FC0F11"/>
    <w:rsid w:val="00FC2436"/>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5F"/>
    <w:rsid w:val="00FE37D7"/>
    <w:rsid w:val="00FE38E9"/>
    <w:rsid w:val="00FE4C7B"/>
    <w:rsid w:val="00FE5D82"/>
    <w:rsid w:val="00FE7336"/>
    <w:rsid w:val="00FE787C"/>
    <w:rsid w:val="00FF33F8"/>
    <w:rsid w:val="00FF37F1"/>
    <w:rsid w:val="00FF45A5"/>
    <w:rsid w:val="00FF5C91"/>
    <w:rsid w:val="00FF5EDA"/>
    <w:rsid w:val="39B8CE01"/>
    <w:rsid w:val="6CCD72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0A04F325-3238-43F4-B3B8-682295F7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2.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3.xml><?xml version="1.0" encoding="utf-8"?>
<ds:datastoreItem xmlns:ds="http://schemas.openxmlformats.org/officeDocument/2006/customXml" ds:itemID="{45D93C72-052F-4C31-BB9B-F2BB328FC4D8}">
  <ds:schemaRefs>
    <ds:schemaRef ds:uri="http://schemas.microsoft.com/sharepoint/v3"/>
    <ds:schemaRef ds:uri="http://purl.org/dc/terms/"/>
    <ds:schemaRef ds:uri="http://schemas.microsoft.com/office/infopath/2007/PartnerControls"/>
    <ds:schemaRef ds:uri="http://purl.org/dc/elements/1.1/"/>
    <ds:schemaRef ds:uri="http://schemas.microsoft.com/office/2006/metadata/properties"/>
    <ds:schemaRef ds:uri="2f282d3b-eb4a-4b09-b61f-b9593442e286"/>
    <ds:schemaRef ds:uri="http://schemas.microsoft.com/office/2006/documentManagement/types"/>
    <ds:schemaRef ds:uri="http://schemas.openxmlformats.org/package/2006/metadata/core-properties"/>
    <ds:schemaRef ds:uri="http://www.w3.org/XML/1998/namespace"/>
    <ds:schemaRef ds:uri="d8762117-8292-4133-b1c7-eab5c6487cfd"/>
    <ds:schemaRef ds:uri="9b239327-9e80-40e4-b1b7-4394fed77a33"/>
    <ds:schemaRef ds:uri="http://purl.org/dc/dcmitype/"/>
  </ds:schemaRefs>
</ds:datastoreItem>
</file>

<file path=customXml/itemProps4.xml><?xml version="1.0" encoding="utf-8"?>
<ds:datastoreItem xmlns:ds="http://schemas.openxmlformats.org/officeDocument/2006/customXml" ds:itemID="{428D582D-D284-4887-9724-E8A78CDCC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359</TotalTime>
  <Pages>10</Pages>
  <Words>4628</Words>
  <Characters>25356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Gerardo Agni Medina Acosta</cp:lastModifiedBy>
  <cp:revision>344</cp:revision>
  <cp:lastPrinted>2022-04-19T11:56:00Z</cp:lastPrinted>
  <dcterms:created xsi:type="dcterms:W3CDTF">2022-02-14T22:23:00Z</dcterms:created>
  <dcterms:modified xsi:type="dcterms:W3CDTF">2023-08-10T14:07:00Z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